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301625</wp:posOffset>
            </wp:positionV>
            <wp:extent cx="709930" cy="782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930" cy="782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LANDSTAR SYSTEM,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2"/>
          <w:szCs w:val="12"/>
          <w:b w:val="1"/>
          <w:bCs w:val="1"/>
          <w:color w:val="auto"/>
        </w:rPr>
        <w:t>021238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06-1313069</w:t>
      </w:r>
    </w:p>
    <w:p>
      <w:pPr>
        <w:spacing w:after="0" w:line="13" w:lineRule="exact"/>
        <w:rPr>
          <w:sz w:val="24"/>
          <w:szCs w:val="24"/>
          <w:color w:val="auto"/>
        </w:rPr>
      </w:pPr>
    </w:p>
    <w:p>
      <w:pPr>
        <w:sectPr>
          <w:pgSz w:w="11900" w:h="16838" w:orient="portrait"/>
          <w:cols w:equalWidth="0" w:num="3">
            <w:col w:w="3680" w:space="720"/>
            <w:col w:w="170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61"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2"/>
          <w:szCs w:val="12"/>
          <w:b w:val="1"/>
          <w:bCs w:val="1"/>
          <w:color w:val="auto"/>
        </w:rPr>
        <w:t>13410 Sutton Park Drive South, Jacksonville, Florida</w:t>
      </w:r>
    </w:p>
    <w:p>
      <w:pPr>
        <w:spacing w:after="0" w:line="20" w:lineRule="exact"/>
        <w:rPr>
          <w:sz w:val="24"/>
          <w:szCs w:val="24"/>
          <w:color w:val="auto"/>
        </w:rPr>
      </w:pPr>
      <w:r>
        <w:rPr>
          <w:sz w:val="24"/>
          <w:szCs w:val="24"/>
          <w:color w:val="auto"/>
        </w:rPr>
        <w:br w:type="column"/>
      </w:r>
    </w:p>
    <w:p>
      <w:pPr>
        <w:jc w:val="center"/>
        <w:ind w:right="2359"/>
        <w:spacing w:after="0"/>
        <w:rPr>
          <w:sz w:val="20"/>
          <w:szCs w:val="20"/>
          <w:color w:val="auto"/>
        </w:rPr>
      </w:pPr>
      <w:r>
        <w:rPr>
          <w:rFonts w:ascii="Times New Roman" w:cs="Times New Roman" w:eastAsia="Times New Roman" w:hAnsi="Times New Roman"/>
          <w:sz w:val="12"/>
          <w:szCs w:val="12"/>
          <w:b w:val="1"/>
          <w:bCs w:val="1"/>
          <w:color w:val="auto"/>
        </w:rPr>
        <w:t>32224</w:t>
      </w:r>
    </w:p>
    <w:p>
      <w:pPr>
        <w:spacing w:after="0" w:line="29"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(904) 398-9400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LSTR</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NASDAQ</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color w:val="auto"/>
        </w:rPr>
        <w:t>Results of Operations and Financial Condition</w:t>
      </w:r>
    </w:p>
    <w:p>
      <w:pPr>
        <w:spacing w:after="0" w:line="78"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On October 27, 2026, Landstar System, Inc. (“Landstar” or the “Company”) issued a press release announcing results for the thirteen-week period ended September 26, 2026 (the third quarter of fiscal 2026). A copy of the press release is attached hereto as Exhibit 99.1.</w:t>
      </w:r>
    </w:p>
    <w:p>
      <w:pPr>
        <w:spacing w:after="0" w:line="122" w:lineRule="exact"/>
        <w:rPr>
          <w:sz w:val="20"/>
          <w:szCs w:val="20"/>
          <w:color w:val="auto"/>
        </w:rPr>
      </w:pPr>
    </w:p>
    <w:p>
      <w:pPr>
        <w:ind w:left="640" w:right="939"/>
        <w:spacing w:after="0" w:line="267" w:lineRule="auto"/>
        <w:rPr>
          <w:sz w:val="20"/>
          <w:szCs w:val="20"/>
          <w:color w:val="auto"/>
        </w:rPr>
      </w:pPr>
      <w:r>
        <w:rPr>
          <w:rFonts w:ascii="Times New Roman" w:cs="Times New Roman" w:eastAsia="Times New Roman" w:hAnsi="Times New Roman"/>
          <w:sz w:val="13"/>
          <w:szCs w:val="13"/>
          <w:color w:val="auto"/>
        </w:rPr>
        <w:t>The information contained in Item 7.01 of this Current Report on Form 8-K, including Exhibit 99.2 hereto, concerning the presentation to Landstar investors is hereby incorporated into this Item 2.02 by reference.</w:t>
      </w:r>
    </w:p>
    <w:p>
      <w:pPr>
        <w:spacing w:after="0" w:line="122"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The information furnished under Item 2.02 of this Current Report on Form 8-K, including Exhibit 99.1 hereto, shall not be deemed “filed” for purposes of Section 18 of the Securities Exchange Act of 1934, nor shall it be deemed incorporated by reference in any filing under the Securities Act of 1933.</w:t>
      </w:r>
    </w:p>
    <w:p>
      <w:pPr>
        <w:spacing w:after="0" w:line="204"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color w:val="auto"/>
        </w:rPr>
        <w:t>Item 7.01</w:t>
      </w:r>
      <w:r>
        <w:rPr>
          <w:sz w:val="20"/>
          <w:szCs w:val="20"/>
          <w:color w:val="auto"/>
        </w:rPr>
        <w:tab/>
      </w:r>
      <w:r>
        <w:rPr>
          <w:rFonts w:ascii="Times New Roman" w:cs="Times New Roman" w:eastAsia="Times New Roman" w:hAnsi="Times New Roman"/>
          <w:sz w:val="13"/>
          <w:szCs w:val="13"/>
          <w:color w:val="auto"/>
        </w:rPr>
        <w:t>Regulation FD Disclosure</w:t>
      </w:r>
    </w:p>
    <w:p>
      <w:pPr>
        <w:spacing w:after="0" w:line="78"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A slide presentation, dated October 27, 2026, is attached hereto as Exhibit 99.2 and is incorporated herein by reference. The slide presentation provides information that may be referred to by the Company on its conference call with investors scheduled to occur on October 27, 2026 in connection with the Company’s release of results for the third quarter of fiscal 2026.</w:t>
      </w:r>
    </w:p>
    <w:p>
      <w:pPr>
        <w:spacing w:after="0" w:line="130"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The information furnished under Item 7.01 of this Current Report on Form 8-K, including Exhibit 99.2 hereto, shall not be deemed “filed” for purposes of Section 18 of the Securities Exchange Act of 1934, nor shall it be deemed incorporated by reference in any filing under the Securities Act of 1933.</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9.01</w:t>
            </w:r>
          </w:p>
        </w:tc>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Financial Statements and Exhibits</w:t>
            </w:r>
          </w:p>
        </w:tc>
      </w:tr>
      <w:tr>
        <w:trPr>
          <w:trHeight w:val="275"/>
        </w:trPr>
        <w:tc>
          <w:tcPr>
            <w:tcW w:w="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Exhibits</w:t>
            </w:r>
          </w:p>
        </w:tc>
        <w:tc>
          <w:tcPr>
            <w:tcW w:w="32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188"/>
        </w:trPr>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99.1</w:t>
            </w:r>
          </w:p>
        </w:tc>
        <w:tc>
          <w:tcPr>
            <w:tcW w:w="36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3"/>
                <w:szCs w:val="13"/>
                <w:color w:val="0000EE"/>
              </w:rPr>
              <w:t>Press Release, dated October 27, 2026, of Landstar System, Inc.</w:t>
            </w:r>
          </w:p>
        </w:tc>
      </w:tr>
      <w:tr>
        <w:trPr>
          <w:trHeight w:val="20"/>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99.2</w:t>
            </w:r>
          </w:p>
        </w:tc>
        <w:tc>
          <w:tcPr>
            <w:tcW w:w="360" w:type="dxa"/>
            <w:vAlign w:val="bottom"/>
          </w:tcPr>
          <w:p>
            <w:pPr>
              <w:spacing w:after="0"/>
              <w:rPr>
                <w:sz w:val="18"/>
                <w:szCs w:val="18"/>
                <w:color w:val="auto"/>
              </w:rPr>
            </w:pPr>
          </w:p>
        </w:tc>
        <w:tc>
          <w:tcPr>
            <w:tcW w:w="3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Slide Presentation, dated October 27, 2026, of Landstar System, Inc.</w:t>
            </w:r>
          </w:p>
        </w:tc>
      </w:tr>
      <w:tr>
        <w:trPr>
          <w:trHeight w:val="236"/>
        </w:trPr>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104</w:t>
            </w:r>
          </w:p>
        </w:tc>
        <w:tc>
          <w:tcPr>
            <w:tcW w:w="36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Inline XBRL for the cover page of this Current Report on Form 8-K</w:t>
            </w:r>
          </w:p>
        </w:tc>
      </w:tr>
    </w:tbl>
    <w:p>
      <w:pPr>
        <w:sectPr>
          <w:pgSz w:w="11900" w:h="16838" w:orient="portrait"/>
          <w:cols w:equalWidth="0" w:num="1">
            <w:col w:w="9019"/>
          </w:cols>
          <w:pgMar w:left="1440" w:top="25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4"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520" w:type="dxa"/>
            <w:vAlign w:val="bottom"/>
          </w:tcPr>
          <w:p>
            <w:pPr>
              <w:spacing w:after="0"/>
              <w:rPr>
                <w:sz w:val="14"/>
                <w:szCs w:val="14"/>
                <w:color w:val="auto"/>
              </w:rPr>
            </w:pPr>
          </w:p>
        </w:tc>
        <w:tc>
          <w:tcPr>
            <w:tcW w:w="5220" w:type="dxa"/>
            <w:vAlign w:val="bottom"/>
            <w:gridSpan w:val="2"/>
          </w:tcPr>
          <w:p>
            <w:pPr>
              <w:ind w:left="1360"/>
              <w:spacing w:after="0"/>
              <w:rPr>
                <w:sz w:val="20"/>
                <w:szCs w:val="20"/>
                <w:color w:val="auto"/>
              </w:rPr>
            </w:pPr>
            <w:r>
              <w:rPr>
                <w:rFonts w:ascii="Times New Roman" w:cs="Times New Roman" w:eastAsia="Times New Roman" w:hAnsi="Times New Roman"/>
                <w:sz w:val="13"/>
                <w:szCs w:val="13"/>
                <w:color w:val="auto"/>
              </w:rPr>
              <w:t>LANDSTAR SYSTEM, INC.</w:t>
            </w:r>
          </w:p>
        </w:tc>
      </w:tr>
      <w:tr>
        <w:trPr>
          <w:trHeight w:val="303"/>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Date: October 27, 2026</w:t>
            </w:r>
          </w:p>
        </w:tc>
        <w:tc>
          <w:tcPr>
            <w:tcW w:w="1800" w:type="dxa"/>
            <w:vAlign w:val="bottom"/>
          </w:tcPr>
          <w:p>
            <w:pPr>
              <w:ind w:left="136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James P. Todd</w:t>
            </w:r>
          </w:p>
        </w:tc>
      </w:tr>
      <w:tr>
        <w:trPr>
          <w:trHeight w:val="138"/>
        </w:trPr>
        <w:tc>
          <w:tcPr>
            <w:tcW w:w="2520" w:type="dxa"/>
            <w:vAlign w:val="bottom"/>
          </w:tcPr>
          <w:p>
            <w:pPr>
              <w:spacing w:after="0"/>
              <w:rPr>
                <w:sz w:val="11"/>
                <w:szCs w:val="11"/>
                <w:color w:val="auto"/>
              </w:rPr>
            </w:pPr>
          </w:p>
        </w:tc>
        <w:tc>
          <w:tcPr>
            <w:tcW w:w="1800" w:type="dxa"/>
            <w:vAlign w:val="bottom"/>
          </w:tcPr>
          <w:p>
            <w:pPr>
              <w:ind w:left="136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James P. Todd</w:t>
            </w:r>
          </w:p>
        </w:tc>
      </w:tr>
      <w:tr>
        <w:trPr>
          <w:trHeight w:val="165"/>
        </w:trPr>
        <w:tc>
          <w:tcPr>
            <w:tcW w:w="2520" w:type="dxa"/>
            <w:vAlign w:val="bottom"/>
          </w:tcPr>
          <w:p>
            <w:pPr>
              <w:spacing w:after="0"/>
              <w:rPr>
                <w:sz w:val="14"/>
                <w:szCs w:val="14"/>
                <w:color w:val="auto"/>
              </w:rPr>
            </w:pPr>
          </w:p>
        </w:tc>
        <w:tc>
          <w:tcPr>
            <w:tcW w:w="1800" w:type="dxa"/>
            <w:vAlign w:val="bottom"/>
          </w:tcPr>
          <w:p>
            <w:pPr>
              <w:ind w:left="136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Vice President, Chief Financial Officer and Assistant Secretary</w:t>
            </w:r>
          </w:p>
        </w:tc>
      </w:tr>
    </w:tbl>
    <w:p>
      <w:pPr>
        <w:sectPr>
          <w:pgSz w:w="11900" w:h="16838" w:orient="portrait"/>
          <w:cols w:equalWidth="0" w:num="1">
            <w:col w:w="9019"/>
          </w:cols>
          <w:pgMar w:left="1440" w:top="250"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4609465" cy="631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0946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tabs>
          <w:tab w:leader="none" w:pos="7480" w:val="left"/>
        </w:tabs>
        <w:rPr>
          <w:sz w:val="20"/>
          <w:szCs w:val="20"/>
          <w:color w:val="auto"/>
        </w:rPr>
      </w:pPr>
      <w:r>
        <w:rPr>
          <w:rFonts w:ascii="Times New Roman" w:cs="Times New Roman" w:eastAsia="Times New Roman" w:hAnsi="Times New Roman"/>
          <w:sz w:val="13"/>
          <w:szCs w:val="13"/>
          <w:u w:val="single" w:color="auto"/>
          <w:color w:val="auto"/>
        </w:rPr>
        <w:t>For Immediate Release</w:t>
      </w:r>
      <w:r>
        <w:rPr>
          <w:sz w:val="20"/>
          <w:szCs w:val="20"/>
          <w:color w:val="auto"/>
        </w:rPr>
        <w:tab/>
      </w:r>
      <w:r>
        <w:rPr>
          <w:rFonts w:ascii="Times New Roman" w:cs="Times New Roman" w:eastAsia="Times New Roman" w:hAnsi="Times New Roman"/>
          <w:sz w:val="12"/>
          <w:szCs w:val="12"/>
          <w:color w:val="auto"/>
        </w:rPr>
        <w:t>October 27, 2026</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REPORTS THIRD QUARTER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REVENUE OF $1.512B AND EARNINGS PER SHARE OF $1.42</w:t>
      </w:r>
    </w:p>
    <w:p>
      <w:pPr>
        <w:spacing w:after="0" w:line="15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Jacksonville, FL - Landstar System, Inc. (NASDAQ: LSTR) (“Landstar” or the “Company”) today reported its financial results for the 2026 third quarter. The Company reported total revenue of $1.512 billion in the 2026 third quarter, an increase of 25% as compared to revenue of $1.205 billion in the 2025 third quarter, and basic and diluted earnings per share (“EPS”) of $1.42 in the 2026 third quarter, an increase of 154% as compared to EPS of $0.56 in the 2025 third quarter. It should be noted that EPS in the 2025 third quarter was negatively impacted by non-cash impairment charges of $30.1 million, or $0.66 per share, related to the previously disclosed strategic review of operations conducted during the 2025 third quarter, and, as further described below, the 2026 third quarter EPS was negatively impacted by highly elevated insurance and claim costs. The Company also reported a 14% increase in gross profit and a 25% increase in variable contribution (defined as revenue less the cost of purchased transportation and commissions to agents) in the 2026 third quarter, as compared in each case to the 2025 third quarter.</w:t>
      </w:r>
    </w:p>
    <w:p>
      <w:pPr>
        <w:spacing w:after="0" w:line="139"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“The Landstar team of independent business owners and employees excelled in a freight transportation backdrop that continues to improve. Our network generated truck revenue of $1.407 billion, an increase of 29% compared to the 2025 third quarter, with revenue generated via van and unsided/platform equipment each increasing over 30% compared to the 2025 third quarter,” said Landstar President and Chief Executive Officer Frank Lonegro. “In addition, I was highly encouraged to see our net 165 Business Capacity Owner (BCO) truck additions during the third quarter, the strongest quarterly improvement since the third quarter of 2021. We are continuing to deliver safety, security and service for our customers, and our BCOs achieved a 5% year-over-year improvement in DOT accident frequency. Even so, we are not immune to the challenges of the insurance and claims inflation prevalent in our industry.”</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SYSTEM/2</w:t>
      </w:r>
    </w:p>
    <w:p>
      <w:pPr>
        <w:spacing w:after="0" w:line="103"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35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0"/>
                <w:szCs w:val="10"/>
                <w:b w:val="1"/>
                <w:bCs w:val="1"/>
                <w:color w:val="auto"/>
              </w:rPr>
              <w:t>3Q 2026</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0"/>
                <w:szCs w:val="10"/>
                <w:b w:val="1"/>
                <w:bCs w:val="1"/>
                <w:color w:val="auto"/>
              </w:rPr>
              <w:t>3Q 2025</w:t>
            </w:r>
          </w:p>
        </w:tc>
        <w:tc>
          <w:tcPr>
            <w:tcW w:w="1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7"/>
              </w:rPr>
              <w:t xml:space="preserve">Change </w:t>
            </w:r>
            <w:r>
              <w:rPr>
                <w:rFonts w:ascii="Times New Roman" w:cs="Times New Roman" w:eastAsia="Times New Roman" w:hAnsi="Times New Roman"/>
                <w:sz w:val="10"/>
                <w:szCs w:val="10"/>
                <w:b w:val="1"/>
                <w:bCs w:val="1"/>
                <w:u w:val="single" w:color="auto"/>
                <w:color w:val="auto"/>
                <w:w w:val="97"/>
              </w:rPr>
              <w:t>($</w:t>
            </w:r>
            <w:r>
              <w:rPr>
                <w:rFonts w:ascii="Times New Roman" w:cs="Times New Roman" w:eastAsia="Times New Roman" w:hAnsi="Times New Roman"/>
                <w:sz w:val="10"/>
                <w:szCs w:val="10"/>
                <w:b w:val="1"/>
                <w:bCs w:val="1"/>
                <w:color w:val="auto"/>
                <w:w w:val="97"/>
              </w:rPr>
              <w:t>)</w:t>
            </w:r>
          </w:p>
        </w:tc>
        <w:tc>
          <w:tcPr>
            <w:tcW w:w="18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6"/>
              </w:rPr>
              <w:t>Change (%)</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1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580" w:type="dxa"/>
            <w:vAlign w:val="bottom"/>
            <w:vMerge w:val="continue"/>
            <w:shd w:val="clear" w:color="auto" w:fill="CCEEFF"/>
          </w:tcPr>
          <w:p>
            <w:pPr>
              <w:spacing w:after="0"/>
              <w:rPr>
                <w:sz w:val="12"/>
                <w:szCs w:val="12"/>
                <w:color w:val="auto"/>
              </w:rPr>
            </w:pPr>
          </w:p>
        </w:tc>
        <w:tc>
          <w:tcPr>
            <w:tcW w:w="13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1,511,787</w:t>
            </w:r>
          </w:p>
        </w:tc>
        <w:tc>
          <w:tcPr>
            <w:tcW w:w="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1,205,406</w:t>
            </w:r>
          </w:p>
        </w:tc>
        <w:tc>
          <w:tcPr>
            <w:tcW w:w="180" w:type="dxa"/>
            <w:vAlign w:val="bottom"/>
            <w:vMerge w:val="continue"/>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$306,381</w:t>
            </w:r>
          </w:p>
        </w:tc>
        <w:tc>
          <w:tcPr>
            <w:tcW w:w="180" w:type="dxa"/>
            <w:vAlign w:val="bottom"/>
            <w:vMerge w:val="continue"/>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52"/>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126,547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111,060</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15,487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5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contribution</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212,066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170,241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41,825</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24.6%</w:t>
            </w:r>
          </w:p>
        </w:tc>
        <w:tc>
          <w:tcPr>
            <w:tcW w:w="0" w:type="dxa"/>
            <w:vAlign w:val="bottom"/>
          </w:tcPr>
          <w:p>
            <w:pPr>
              <w:spacing w:after="0"/>
              <w:rPr>
                <w:sz w:val="1"/>
                <w:szCs w:val="1"/>
                <w:color w:val="auto"/>
              </w:rPr>
            </w:pPr>
          </w:p>
        </w:tc>
      </w:tr>
      <w:tr>
        <w:trPr>
          <w:trHeight w:val="152"/>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65,540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26,326</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39,214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149.0%</w:t>
            </w:r>
          </w:p>
        </w:tc>
        <w:tc>
          <w:tcPr>
            <w:tcW w:w="0" w:type="dxa"/>
            <w:vAlign w:val="bottom"/>
          </w:tcPr>
          <w:p>
            <w:pPr>
              <w:spacing w:after="0"/>
              <w:rPr>
                <w:sz w:val="1"/>
                <w:szCs w:val="1"/>
                <w:color w:val="auto"/>
              </w:rPr>
            </w:pPr>
          </w:p>
        </w:tc>
      </w:tr>
      <w:tr>
        <w:trPr>
          <w:trHeight w:val="15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and diluted earnings per share (“EPS”)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0.56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0.86</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153.6%</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940" w:hanging="303"/>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Dollars above in thousands, except per share amounts.</w:t>
      </w:r>
    </w:p>
    <w:p>
      <w:pPr>
        <w:spacing w:after="0" w:line="1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refer to the Consolidated Statements of Income and the Reconciliation of Gross Profit to Variable Contribution included below.</w:t>
      </w:r>
    </w:p>
    <w:p>
      <w:pPr>
        <w:spacing w:after="0" w:line="2" w:lineRule="exact"/>
        <w:rPr>
          <w:rFonts w:ascii="Times New Roman" w:cs="Times New Roman" w:eastAsia="Times New Roman" w:hAnsi="Times New Roman"/>
          <w:sz w:val="13"/>
          <w:szCs w:val="13"/>
          <w:color w:val="auto"/>
        </w:rPr>
      </w:pPr>
    </w:p>
    <w:p>
      <w:pPr>
        <w:ind w:left="940" w:right="1119" w:hanging="303"/>
        <w:spacing w:after="0" w:line="246" w:lineRule="auto"/>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and EPS during the 2025 third quarter were negatively impacted by $30.1 million and $0.66, respectively, as a result of non-cash impairment charges.</w:t>
      </w:r>
    </w:p>
    <w:p>
      <w:pPr>
        <w:spacing w:after="0" w:line="136" w:lineRule="exact"/>
        <w:rPr>
          <w:sz w:val="20"/>
          <w:szCs w:val="20"/>
          <w:color w:val="auto"/>
        </w:rPr>
      </w:pPr>
    </w:p>
    <w:p>
      <w:pPr>
        <w:ind w:left="640" w:right="919"/>
        <w:spacing w:after="0" w:line="267" w:lineRule="auto"/>
        <w:rPr>
          <w:sz w:val="20"/>
          <w:szCs w:val="20"/>
          <w:color w:val="auto"/>
        </w:rPr>
      </w:pPr>
      <w:r>
        <w:rPr>
          <w:rFonts w:ascii="Times New Roman" w:cs="Times New Roman" w:eastAsia="Times New Roman" w:hAnsi="Times New Roman"/>
          <w:sz w:val="13"/>
          <w:szCs w:val="13"/>
          <w:color w:val="auto"/>
        </w:rPr>
        <w:t>Third quarter 2026 EPS reflected highly elevated insurance and claim costs of $55.3 million, an increase from $33.0 million of insurance and claim costs reported during the 2025 third quarter. The following items are reflected in insurance and claims for the 2026 third quarter:</w:t>
      </w:r>
    </w:p>
    <w:p>
      <w:pPr>
        <w:spacing w:after="0" w:line="56"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$13.0 million, or $0.29 per share, of adverse actuarial adjustments to insurance and claim reserves.</w:t>
      </w:r>
    </w:p>
    <w:p>
      <w:pPr>
        <w:spacing w:after="0" w:line="87" w:lineRule="exact"/>
        <w:rPr>
          <w:rFonts w:ascii="Times New Roman" w:cs="Times New Roman" w:eastAsia="Times New Roman" w:hAnsi="Times New Roman"/>
          <w:sz w:val="13"/>
          <w:szCs w:val="13"/>
          <w:color w:val="auto"/>
        </w:rPr>
      </w:pPr>
    </w:p>
    <w:p>
      <w:pPr>
        <w:ind w:left="1320" w:right="75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$8.0 million, or $0.18 per share, of prior year development attributable to settlements of a 2024 brokered truck accident claim and a 2025 BCO accident.</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During the 2026 third quarter, truck revenue was $1,407 million, an increase of 29%, as compared to the 2025 third quarter truck revenue of</w:t>
      </w:r>
    </w:p>
    <w:p>
      <w:pPr>
        <w:spacing w:after="0" w:line="15" w:lineRule="exact"/>
        <w:rPr>
          <w:sz w:val="20"/>
          <w:szCs w:val="20"/>
          <w:color w:val="auto"/>
        </w:rPr>
      </w:pPr>
    </w:p>
    <w:p>
      <w:pPr>
        <w:ind w:left="640" w:right="839"/>
        <w:spacing w:after="0" w:line="246" w:lineRule="auto"/>
        <w:rPr>
          <w:sz w:val="20"/>
          <w:szCs w:val="20"/>
          <w:color w:val="auto"/>
        </w:rPr>
      </w:pPr>
      <w:r>
        <w:rPr>
          <w:rFonts w:ascii="Times New Roman" w:cs="Times New Roman" w:eastAsia="Times New Roman" w:hAnsi="Times New Roman"/>
          <w:sz w:val="13"/>
          <w:szCs w:val="13"/>
          <w:color w:val="auto"/>
        </w:rPr>
        <w:t>$1,090 million. Truck revenue per load increased approximately 25% in the 2026 third quarter compared to the 2025 third quarter, and the number of loads hauled via truck increased approximately 3% compared to the 2025 third quarter.</w:t>
      </w:r>
    </w:p>
    <w:p>
      <w:pPr>
        <w:spacing w:after="0" w:line="136"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Truck transportation revenue hauled by independent business capacity owners (“BCOs”) and truck brokerage carriers in the 2026 third quarter was 93% of revenue, compared to 90% of revenue in the 2025 third quarter. Truckload transportation revenue hauled via van equipment in the 2026 third quarter was $760 million, compared to $583 million in the 2025 third quarter. Truckload transportation revenue hauled via unsided/platform equipment in the 2026 third quarter was $519 million, compared to $386 million in the 2025 third quarter. Revenue from other truck transportation, which is largely related to power-only services, in the 2026 third quarter was $104 million, compared to $96 million in the 2025 third quarter. Revenue hauled by rail, air and ocean cargo carriers was $83 million, or 5% of revenue, in the 2026 third quarter, compared to $96 million, or 8% of revenue, in the 2025 third quarter.</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SYSTEM/3</w:t>
      </w:r>
    </w:p>
    <w:p>
      <w:pPr>
        <w:spacing w:after="0" w:line="106" w:lineRule="exact"/>
        <w:rPr>
          <w:sz w:val="20"/>
          <w:szCs w:val="20"/>
          <w:color w:val="auto"/>
        </w:rPr>
      </w:pPr>
    </w:p>
    <w:p>
      <w:pPr>
        <w:ind w:left="640" w:right="859"/>
        <w:spacing w:after="0" w:line="251" w:lineRule="auto"/>
        <w:rPr>
          <w:sz w:val="20"/>
          <w:szCs w:val="20"/>
          <w:color w:val="auto"/>
        </w:rPr>
      </w:pPr>
      <w:r>
        <w:rPr>
          <w:rFonts w:ascii="Times New Roman" w:cs="Times New Roman" w:eastAsia="Times New Roman" w:hAnsi="Times New Roman"/>
          <w:sz w:val="13"/>
          <w:szCs w:val="13"/>
          <w:color w:val="auto"/>
        </w:rPr>
        <w:t>Gross profit in the 2026 third quarter was $127 million, as compared to $111 million in the 2025 third quarter. Variable contribution in the 2026 third quarter was $212 million, compared to $170 million in the 2025 third quarter. Reconciliations of gross profit to variable contribution and gross profit margin to variable contribution margin for the 2026 and 2025 third quarters and year-to-date periods are provided in the Company’s accompanying financial disclosures.</w:t>
      </w:r>
    </w:p>
    <w:p>
      <w:pPr>
        <w:spacing w:after="0" w:line="133" w:lineRule="exact"/>
        <w:rPr>
          <w:sz w:val="20"/>
          <w:szCs w:val="20"/>
          <w:color w:val="auto"/>
        </w:rPr>
      </w:pPr>
    </w:p>
    <w:p>
      <w:pPr>
        <w:ind w:left="640" w:right="819"/>
        <w:spacing w:after="0" w:line="247" w:lineRule="auto"/>
        <w:rPr>
          <w:sz w:val="20"/>
          <w:szCs w:val="20"/>
          <w:color w:val="auto"/>
        </w:rPr>
      </w:pPr>
      <w:r>
        <w:rPr>
          <w:rFonts w:ascii="Times New Roman" w:cs="Times New Roman" w:eastAsia="Times New Roman" w:hAnsi="Times New Roman"/>
          <w:sz w:val="13"/>
          <w:szCs w:val="13"/>
          <w:color w:val="auto"/>
        </w:rPr>
        <w:t>Landstar continues to return capital to stockholders through the Company’s share purchase program and dividends. During the 2026 third quarter, Landstar purchased 232,645 shares of its common stock at an aggregate cost of $41.4 million, bringing the total number of common shares purchased during the year-to-date period ended September 26, 2026 to 383,568 shares at an aggregate cost of approximately $64.0 million. The Company is currently authorized to purchase up to an additional 882,550 shares of the Company’s common stock under its longstanding share purchase program. Landstar also announced today that its Board of Directors declared a quarterly dividend of $0.44 per share payable on December 8, 2026, to stockholders of record as of the close of business on November 17, 2026. It is currently the intention of the Board to continue to pay dividends on a quarterly basis going forward.</w:t>
      </w:r>
    </w:p>
    <w:p>
      <w:pPr>
        <w:spacing w:after="0" w:line="136"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The Company’s balance sheet continues to be very strong, with cash and short-term investments of approximately $351 million as of September 26, 2026. Trailing twelve-month return on average shareholders’ equity was 19%. Return on invested capital, representing net income divided by the sum of average equity plus average debt, was 18%.</w:t>
      </w:r>
    </w:p>
    <w:p>
      <w:pPr>
        <w:spacing w:after="0" w:line="130" w:lineRule="exact"/>
        <w:rPr>
          <w:sz w:val="20"/>
          <w:szCs w:val="20"/>
          <w:color w:val="auto"/>
        </w:rPr>
      </w:pPr>
    </w:p>
    <w:p>
      <w:pPr>
        <w:ind w:left="640" w:right="979"/>
        <w:spacing w:after="0" w:line="286" w:lineRule="auto"/>
        <w:rPr>
          <w:sz w:val="20"/>
          <w:szCs w:val="20"/>
          <w:color w:val="auto"/>
        </w:rPr>
      </w:pPr>
      <w:r>
        <w:rPr>
          <w:rFonts w:ascii="Times New Roman" w:cs="Times New Roman" w:eastAsia="Times New Roman" w:hAnsi="Times New Roman"/>
          <w:sz w:val="12"/>
          <w:szCs w:val="12"/>
          <w:color w:val="auto"/>
        </w:rPr>
        <w:t>Landstar will provide a live webcast of its quarterly earnings conference call this afternoon at 4:30 p.m. ET. To access the webcast, visit https://www.investor.landstar.com; click on “Webcasts,” then click on “Landstar’s Third Quarter 2026 Earnings Release Conference Call.” A slide presentation to accompany the webcast presentation is also available on Landstar’s investor relations website at https://investor.landstar.com/.</w:t>
      </w:r>
    </w:p>
    <w:p>
      <w:pPr>
        <w:sectPr>
          <w:pgSz w:w="11900" w:h="16838" w:orient="portrait"/>
          <w:cols w:equalWidth="0" w:num="1">
            <w:col w:w="9019"/>
          </w:cols>
          <w:pgMar w:left="1440" w:top="231"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SYSTEM/4</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Jim Todd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904-398-9400</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About Landstar:</w:t>
      </w:r>
    </w:p>
    <w:p>
      <w:pPr>
        <w:spacing w:after="0" w:line="80" w:lineRule="exact"/>
        <w:rPr>
          <w:sz w:val="20"/>
          <w:szCs w:val="20"/>
          <w:color w:val="auto"/>
        </w:rPr>
      </w:pPr>
    </w:p>
    <w:p>
      <w:pPr>
        <w:ind w:left="640" w:right="999"/>
        <w:spacing w:after="0" w:line="259" w:lineRule="auto"/>
        <w:rPr>
          <w:sz w:val="20"/>
          <w:szCs w:val="20"/>
          <w:color w:val="auto"/>
        </w:rPr>
      </w:pPr>
      <w:r>
        <w:rPr>
          <w:rFonts w:ascii="Times New Roman" w:cs="Times New Roman" w:eastAsia="Times New Roman" w:hAnsi="Times New Roman"/>
          <w:sz w:val="13"/>
          <w:szCs w:val="13"/>
          <w:color w:val="auto"/>
        </w:rPr>
        <w:t>Landstar System, Inc., is a technology-enabled, asset-light provider of freight transportation and logistics solutions focused on safety, security and service to a broad range of customers utilizing a network of agents, third-party capacity providers and employees. Landstar transportation services companies are certified to ISO 9001:2015 quality management system standards and RC14001:2015 environmental, health, safety and security management system standards. Landstar System, Inc. is headquartered in Jacksonville, Florida. Its common stock trades on The NASDAQ Stock Market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under the symbol LSTR.</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Non-GAAP Financial Measures</w:t>
      </w:r>
      <w:r>
        <w:rPr>
          <w:rFonts w:ascii="Times New Roman" w:cs="Times New Roman" w:eastAsia="Times New Roman" w:hAnsi="Times New Roman"/>
          <w:sz w:val="13"/>
          <w:szCs w:val="13"/>
          <w:i w:val="1"/>
          <w:iCs w:val="1"/>
          <w:color w:val="auto"/>
        </w:rPr>
        <w:t>:</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 this earnings release and accompanying financial disclosures, the Company provides the following information that may be deemed non-GAAP financial measures: variable contribution and variable contribution margin. The Company believes variable contribution and variable contribution margin are useful measures of the variable costs that we incur at a shipment-by-shipment level attributable to our transportation network of third-party capacity providers and independent agents in order to provide services to our customers. The Company also believes that it is appropriate to present each of the financial measures that may be deemed a non-GAAP financial measure, as referred to above, for the following reasons: (1) disclosure of these matters will allow investors to better understand the underlying trends in the Company’s financial condition and results of operations; (2) this information will facilitate comparisons by investors of the Company’s results as compared to the results of peer companies; and (3) management considers this financial information in its decision making.</w:t>
      </w:r>
    </w:p>
    <w:p>
      <w:pPr>
        <w:sectPr>
          <w:pgSz w:w="11900" w:h="16838" w:orient="portrait"/>
          <w:cols w:equalWidth="0" w:num="1">
            <w:col w:w="9019"/>
          </w:cols>
          <w:pgMar w:left="1440" w:top="231"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SYSTEM/5</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Forward Looking Statements Disclaimer:</w:t>
      </w:r>
    </w:p>
    <w:p>
      <w:pPr>
        <w:spacing w:after="0" w:line="80"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The following is a “safe harbor” statement under the Private Securities Litigation Reform Act of 1995. Statements contained in this press release that are not based on historical facts are “forward-looking statements.” This press release contains forward-looking statements, such as statements which relate to Landstar’s business objectives, plans, strategies and expectations. Terms such as “anticipates,” “believes,” “estimates,” “intention,” “expects,” “plans,” “predicts,” “may,” “should,” “could,” “would,” “will,” the negative thereof and similar expressions are intended to identify forward-looking statements. Such statements are by nature subject to uncertainties and risks, including but not limited to: decreased demand for transportation services; U.S. trade relationships and potential or imposed tariffs; an increase in the frequency or severity of accidents or other claims; unfavorable development of existing accident claims; substantial verdicts or settlements rendered in connection with accidents or other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second largest such agent by revenue in the 2025 fiscal year;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acquisitions and investments; increased exposure to broker liability claims; and other operational, financial or legal risks or uncertainties detailed in Landstar’s Form 10-K for the 2025 fiscal year; described in Part I, Item 1A Risk Factors; Landstar’s Form 10-Q for the 2026 second quarter, described in Item 1A Risk Factors; and in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SYSTEM/6</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amounts)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5"/>
          </w:tcPr>
          <w:p>
            <w:pPr>
              <w:jc w:val="right"/>
              <w:ind w:right="300"/>
              <w:spacing w:after="0"/>
              <w:rPr>
                <w:sz w:val="20"/>
                <w:szCs w:val="20"/>
                <w:color w:val="auto"/>
              </w:rPr>
            </w:pPr>
            <w:r>
              <w:rPr>
                <w:rFonts w:ascii="Times New Roman" w:cs="Times New Roman" w:eastAsia="Times New Roman" w:hAnsi="Times New Roman"/>
                <w:sz w:val="10"/>
                <w:szCs w:val="10"/>
                <w:color w:val="auto"/>
              </w:rPr>
              <w:t>Thirty-Nine Weeks Ended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6"/>
          </w:tcPr>
          <w:p>
            <w:pPr>
              <w:ind w:left="200"/>
              <w:spacing w:after="0"/>
              <w:rPr>
                <w:sz w:val="20"/>
                <w:szCs w:val="20"/>
                <w:color w:val="auto"/>
              </w:rPr>
            </w:pPr>
            <w:r>
              <w:rPr>
                <w:rFonts w:ascii="Times New Roman" w:cs="Times New Roman" w:eastAsia="Times New Roman" w:hAnsi="Times New Roman"/>
                <w:sz w:val="10"/>
                <w:szCs w:val="10"/>
                <w:color w:val="auto"/>
              </w:rPr>
              <w:t>Thirteen Weeks Ended</w:t>
            </w:r>
          </w:p>
        </w:tc>
      </w:tr>
      <w:tr>
        <w:trPr>
          <w:trHeight w:val="79"/>
        </w:trPr>
        <w:tc>
          <w:tcPr>
            <w:tcW w:w="3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top w:val="single" w:sz="8" w:color="auto"/>
            </w:tcBorders>
            <w:gridSpan w:val="3"/>
          </w:tcPr>
          <w:p>
            <w:pPr>
              <w:jc w:val="right"/>
              <w:ind w:right="200"/>
              <w:spacing w:after="0" w:line="79" w:lineRule="exact"/>
              <w:rPr>
                <w:sz w:val="20"/>
                <w:szCs w:val="20"/>
                <w:color w:val="auto"/>
              </w:rPr>
            </w:pPr>
            <w:r>
              <w:rPr>
                <w:rFonts w:ascii="Times New Roman" w:cs="Times New Roman" w:eastAsia="Times New Roman" w:hAnsi="Times New Roman"/>
                <w:sz w:val="9"/>
                <w:szCs w:val="9"/>
                <w:color w:val="auto"/>
              </w:rPr>
              <w:t>September 26,</w:t>
            </w:r>
          </w:p>
        </w:tc>
        <w:tc>
          <w:tcPr>
            <w:tcW w:w="64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9"/>
                <w:szCs w:val="9"/>
                <w:color w:val="auto"/>
              </w:rPr>
              <w:t>September 27,</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gridSpan w:val="3"/>
          </w:tcPr>
          <w:p>
            <w:pPr>
              <w:jc w:val="right"/>
              <w:ind w:right="120"/>
              <w:spacing w:after="0" w:line="79" w:lineRule="exact"/>
              <w:rPr>
                <w:sz w:val="20"/>
                <w:szCs w:val="20"/>
                <w:color w:val="auto"/>
              </w:rPr>
            </w:pPr>
            <w:r>
              <w:rPr>
                <w:rFonts w:ascii="Times New Roman" w:cs="Times New Roman" w:eastAsia="Times New Roman" w:hAnsi="Times New Roman"/>
                <w:sz w:val="9"/>
                <w:szCs w:val="9"/>
                <w:color w:val="auto"/>
              </w:rPr>
              <w:t>September 26,</w:t>
            </w: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9"/>
                <w:szCs w:val="9"/>
                <w:color w:val="auto"/>
              </w:rPr>
              <w:t>September 27,</w:t>
            </w:r>
          </w:p>
        </w:tc>
        <w:tc>
          <w:tcPr>
            <w:tcW w:w="40" w:type="dxa"/>
            <w:vAlign w:val="bottom"/>
          </w:tcPr>
          <w:p>
            <w:pPr>
              <w:spacing w:after="0"/>
              <w:rPr>
                <w:sz w:val="6"/>
                <w:szCs w:val="6"/>
                <w:color w:val="auto"/>
              </w:rPr>
            </w:pPr>
          </w:p>
        </w:tc>
      </w:tr>
      <w:tr>
        <w:trPr>
          <w:trHeight w:val="119"/>
        </w:trPr>
        <w:tc>
          <w:tcPr>
            <w:tcW w:w="39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0"/>
                <w:szCs w:val="10"/>
                <w:color w:val="auto"/>
              </w:rPr>
              <w:t>2026</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0"/>
                <w:szCs w:val="10"/>
                <w:color w:val="auto"/>
              </w:rPr>
              <w:t>2025</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color w:val="auto"/>
              </w:rPr>
              <w:t>2026</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0"/>
                <w:szCs w:val="10"/>
                <w:color w:val="auto"/>
              </w:rPr>
              <w:t>2025</w:t>
            </w:r>
          </w:p>
        </w:tc>
        <w:tc>
          <w:tcPr>
            <w:tcW w:w="40" w:type="dxa"/>
            <w:vAlign w:val="bottom"/>
            <w:tcBorders>
              <w:bottom w:val="single" w:sz="8" w:color="CCEEFF"/>
            </w:tcBorders>
          </w:tcPr>
          <w:p>
            <w:pPr>
              <w:spacing w:after="0"/>
              <w:rPr>
                <w:sz w:val="10"/>
                <w:szCs w:val="10"/>
                <w:color w:val="auto"/>
              </w:rPr>
            </w:pPr>
          </w:p>
        </w:tc>
      </w:tr>
      <w:tr>
        <w:trPr>
          <w:trHeight w:val="141"/>
        </w:trPr>
        <w:tc>
          <w:tcPr>
            <w:tcW w:w="39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4,115,342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3,569,291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1,511,787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1,205,406</w:t>
            </w:r>
          </w:p>
        </w:tc>
        <w:tc>
          <w:tcPr>
            <w:tcW w:w="40" w:type="dxa"/>
            <w:vAlign w:val="bottom"/>
            <w:shd w:val="clear" w:color="auto" w:fill="CCEEFF"/>
          </w:tcPr>
          <w:p>
            <w:pPr>
              <w:spacing w:after="0"/>
              <w:rPr>
                <w:sz w:val="12"/>
                <w:szCs w:val="12"/>
                <w:color w:val="auto"/>
              </w:rPr>
            </w:pPr>
          </w:p>
        </w:tc>
      </w:tr>
      <w:tr>
        <w:trPr>
          <w:trHeight w:val="152"/>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7,943</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2,264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3,293</w:t>
            </w:r>
          </w:p>
        </w:tc>
        <w:tc>
          <w:tcPr>
            <w:tcW w:w="40" w:type="dxa"/>
            <w:vAlign w:val="bottom"/>
          </w:tcPr>
          <w:p>
            <w:pPr>
              <w:spacing w:after="0"/>
              <w:rPr>
                <w:sz w:val="13"/>
                <w:szCs w:val="13"/>
                <w:color w:val="auto"/>
              </w:rPr>
            </w:pPr>
          </w:p>
        </w:tc>
      </w:tr>
      <w:tr>
        <w:trPr>
          <w:trHeight w:val="15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Purchased transportation</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3,212,442</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2,775,761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1,182,045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936,472</w:t>
            </w:r>
          </w:p>
        </w:tc>
        <w:tc>
          <w:tcPr>
            <w:tcW w:w="40" w:type="dxa"/>
            <w:vAlign w:val="bottom"/>
          </w:tcPr>
          <w:p>
            <w:pPr>
              <w:spacing w:after="0"/>
              <w:rPr>
                <w:sz w:val="13"/>
                <w:szCs w:val="13"/>
                <w:color w:val="auto"/>
              </w:rPr>
            </w:pPr>
          </w:p>
        </w:tc>
      </w:tr>
      <w:tr>
        <w:trPr>
          <w:trHeight w:val="15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Commissions to agents</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319,254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291,529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117,676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98,693</w:t>
            </w:r>
          </w:p>
        </w:tc>
      </w:tr>
      <w:tr>
        <w:trPr>
          <w:trHeight w:val="15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operating costs, net of gains on asset sales/dispositions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53,971</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46,996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21,226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15,572</w:t>
            </w:r>
          </w:p>
        </w:tc>
      </w:tr>
      <w:tr>
        <w:trPr>
          <w:trHeight w:val="15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Insurance and claims</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130,193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103,309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55,270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33,008</w:t>
            </w:r>
          </w:p>
        </w:tc>
      </w:tr>
      <w:tr>
        <w:trPr>
          <w:trHeight w:val="15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191,534</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174,303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62,376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57,015</w:t>
            </w:r>
          </w:p>
        </w:tc>
      </w:tr>
      <w:tr>
        <w:trPr>
          <w:trHeight w:val="15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30,887</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35,884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9,918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11,509</w:t>
            </w:r>
          </w:p>
        </w:tc>
        <w:tc>
          <w:tcPr>
            <w:tcW w:w="40" w:type="dxa"/>
            <w:vAlign w:val="bottom"/>
            <w:shd w:val="clear" w:color="auto" w:fill="CCEEFF"/>
          </w:tcPr>
          <w:p>
            <w:pPr>
              <w:spacing w:after="0"/>
              <w:rPr>
                <w:sz w:val="13"/>
                <w:szCs w:val="13"/>
                <w:color w:val="auto"/>
              </w:rPr>
            </w:pPr>
          </w:p>
        </w:tc>
      </w:tr>
      <w:tr>
        <w:trPr>
          <w:trHeight w:val="15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Impairment of intangible and other assets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30,104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30,104</w:t>
            </w:r>
          </w:p>
        </w:tc>
      </w:tr>
      <w:tr>
        <w:trPr>
          <w:trHeight w:val="20"/>
        </w:trPr>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costs and expenses</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3,938,281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3,457,886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1,448,511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1,182,373</w:t>
            </w:r>
          </w:p>
        </w:tc>
        <w:tc>
          <w:tcPr>
            <w:tcW w:w="40" w:type="dxa"/>
            <w:vAlign w:val="bottom"/>
            <w:shd w:val="clear" w:color="auto" w:fill="CCEEFF"/>
          </w:tcPr>
          <w:p>
            <w:pPr>
              <w:spacing w:after="0"/>
              <w:rPr>
                <w:sz w:val="13"/>
                <w:szCs w:val="13"/>
                <w:color w:val="auto"/>
              </w:rPr>
            </w:pPr>
          </w:p>
        </w:tc>
      </w:tr>
      <w:tr>
        <w:trPr>
          <w:trHeight w:val="151"/>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6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185,004</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26,326</w:t>
            </w:r>
          </w:p>
        </w:tc>
        <w:tc>
          <w:tcPr>
            <w:tcW w:w="40" w:type="dxa"/>
            <w:vAlign w:val="bottom"/>
          </w:tcPr>
          <w:p>
            <w:pPr>
              <w:spacing w:after="0"/>
              <w:rPr>
                <w:sz w:val="13"/>
                <w:szCs w:val="13"/>
                <w:color w:val="auto"/>
              </w:rPr>
            </w:pPr>
          </w:p>
        </w:tc>
      </w:tr>
      <w:tr>
        <w:trPr>
          <w:trHeight w:val="15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debt expense</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1,692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756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217</w:t>
            </w:r>
          </w:p>
        </w:tc>
      </w:tr>
      <w:tr>
        <w:trPr>
          <w:trHeight w:val="151"/>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6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183,312</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121,269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26,109</w:t>
            </w:r>
          </w:p>
        </w:tc>
        <w:tc>
          <w:tcPr>
            <w:tcW w:w="40" w:type="dxa"/>
            <w:vAlign w:val="bottom"/>
          </w:tcPr>
          <w:p>
            <w:pPr>
              <w:spacing w:after="0"/>
              <w:rPr>
                <w:sz w:val="13"/>
                <w:szCs w:val="13"/>
                <w:color w:val="auto"/>
              </w:rPr>
            </w:pPr>
          </w:p>
        </w:tc>
      </w:tr>
      <w:tr>
        <w:trPr>
          <w:trHeight w:val="15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46,878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30,206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17,135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6,745</w:t>
            </w:r>
          </w:p>
        </w:tc>
        <w:tc>
          <w:tcPr>
            <w:tcW w:w="40" w:type="dxa"/>
            <w:vAlign w:val="bottom"/>
            <w:shd w:val="clear" w:color="auto" w:fill="CCEEFF"/>
          </w:tcPr>
          <w:p>
            <w:pPr>
              <w:spacing w:after="0"/>
              <w:rPr>
                <w:sz w:val="13"/>
                <w:szCs w:val="13"/>
                <w:color w:val="auto"/>
              </w:rPr>
            </w:pPr>
          </w:p>
        </w:tc>
      </w:tr>
      <w:tr>
        <w:trPr>
          <w:trHeight w:val="15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136,434</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48,043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19,364</w:t>
            </w:r>
          </w:p>
        </w:tc>
        <w:tc>
          <w:tcPr>
            <w:tcW w:w="40" w:type="dxa"/>
            <w:vAlign w:val="bottom"/>
          </w:tcPr>
          <w:p>
            <w:pPr>
              <w:spacing w:after="0"/>
              <w:rPr>
                <w:sz w:val="13"/>
                <w:szCs w:val="13"/>
                <w:color w:val="auto"/>
              </w:rPr>
            </w:pPr>
          </w:p>
        </w:tc>
      </w:tr>
      <w:tr>
        <w:trPr>
          <w:trHeight w:val="17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and diluted earnings per share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0.56</w:t>
            </w:r>
          </w:p>
        </w:tc>
      </w:tr>
      <w:tr>
        <w:trPr>
          <w:trHeight w:val="17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Average basic and diluted shares outstanding</w:t>
            </w:r>
          </w:p>
        </w:tc>
        <w:tc>
          <w:tcPr>
            <w:tcW w:w="6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33,943,000</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34,885,000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33,871,000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34,581,000</w:t>
            </w:r>
          </w:p>
        </w:tc>
        <w:tc>
          <w:tcPr>
            <w:tcW w:w="40" w:type="dxa"/>
            <w:vAlign w:val="bottom"/>
          </w:tcPr>
          <w:p>
            <w:pPr>
              <w:spacing w:after="0"/>
              <w:rPr>
                <w:sz w:val="14"/>
                <w:szCs w:val="14"/>
                <w:color w:val="auto"/>
              </w:rPr>
            </w:pPr>
          </w:p>
        </w:tc>
      </w:tr>
      <w:tr>
        <w:trPr>
          <w:trHeight w:val="161"/>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per common share</w:t>
            </w: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0.44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0.40</w:t>
            </w:r>
          </w:p>
        </w:tc>
      </w:tr>
      <w:tr>
        <w:trPr>
          <w:trHeight w:val="28"/>
        </w:trPr>
        <w:tc>
          <w:tcPr>
            <w:tcW w:w="3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SYSTEM/7</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amounts)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September 26,</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December 27,</w:t>
            </w:r>
          </w:p>
        </w:tc>
      </w:tr>
      <w:tr>
        <w:trPr>
          <w:trHeight w:val="119"/>
        </w:trPr>
        <w:tc>
          <w:tcPr>
            <w:tcW w:w="62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color w:val="auto"/>
              </w:rPr>
              <w:t>2026</w:t>
            </w: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color w:val="auto"/>
              </w:rPr>
              <w:t>2025</w:t>
            </w:r>
          </w:p>
        </w:tc>
        <w:tc>
          <w:tcPr>
            <w:tcW w:w="80" w:type="dxa"/>
            <w:vAlign w:val="bottom"/>
            <w:tcBorders>
              <w:bottom w:val="single" w:sz="8" w:color="CCEEFF"/>
            </w:tcBorders>
          </w:tcPr>
          <w:p>
            <w:pPr>
              <w:spacing w:after="0"/>
              <w:rPr>
                <w:sz w:val="10"/>
                <w:szCs w:val="10"/>
                <w:color w:val="auto"/>
              </w:rPr>
            </w:pPr>
          </w:p>
        </w:tc>
      </w:tr>
      <w:tr>
        <w:trPr>
          <w:trHeight w:val="132"/>
        </w:trPr>
        <w:tc>
          <w:tcPr>
            <w:tcW w:w="62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ASSETS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297,321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396,694</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Short-term 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53,683</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55,531</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Trade accounts receivable, less allowance of $8,090 and $12,490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892,404</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670,137</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receivables, including advances to independent contractors, less allowance of $15,314 and $18,759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77,898</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52,784</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Assets held for sale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12,231</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50,217</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28,949</w:t>
            </w:r>
          </w:p>
        </w:tc>
        <w:tc>
          <w:tcPr>
            <w:tcW w:w="80" w:type="dxa"/>
            <w:vAlign w:val="bottom"/>
          </w:tcPr>
          <w:p>
            <w:pPr>
              <w:spacing w:after="0"/>
              <w:rPr>
                <w:sz w:val="13"/>
                <w:szCs w:val="13"/>
                <w:color w:val="auto"/>
              </w:rPr>
            </w:pPr>
          </w:p>
        </w:tc>
      </w:tr>
      <w:tr>
        <w:trPr>
          <w:trHeight w:val="151"/>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1,371,523</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1,216,326</w:t>
            </w:r>
          </w:p>
        </w:tc>
      </w:tr>
      <w:tr>
        <w:trPr>
          <w:trHeight w:val="151"/>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Operating property, less accumulated depreciation and amortization of $494,295 and $473,642</w:t>
            </w: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268,570</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261,322</w:t>
            </w:r>
          </w:p>
        </w:tc>
        <w:tc>
          <w:tcPr>
            <w:tcW w:w="80" w:type="dxa"/>
            <w:vAlign w:val="bottom"/>
          </w:tcPr>
          <w:p>
            <w:pPr>
              <w:spacing w:after="0"/>
              <w:rPr>
                <w:sz w:val="13"/>
                <w:szCs w:val="13"/>
                <w:color w:val="auto"/>
              </w:rPr>
            </w:pPr>
          </w:p>
        </w:tc>
      </w:tr>
      <w:tr>
        <w:trPr>
          <w:trHeight w:val="15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34,005</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34,005</w:t>
            </w:r>
          </w:p>
        </w:tc>
      </w:tr>
      <w:tr>
        <w:trPr>
          <w:trHeight w:val="152"/>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133,617</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124,282</w:t>
            </w:r>
          </w:p>
        </w:tc>
        <w:tc>
          <w:tcPr>
            <w:tcW w:w="80" w:type="dxa"/>
            <w:vAlign w:val="bottom"/>
          </w:tcPr>
          <w:p>
            <w:pPr>
              <w:spacing w:after="0"/>
              <w:rPr>
                <w:sz w:val="13"/>
                <w:szCs w:val="13"/>
                <w:color w:val="auto"/>
              </w:rPr>
            </w:pPr>
          </w:p>
        </w:tc>
      </w:tr>
      <w:tr>
        <w:trPr>
          <w:trHeight w:val="15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1,807,715</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1,635,935</w:t>
            </w:r>
          </w:p>
        </w:tc>
      </w:tr>
      <w:tr>
        <w:trPr>
          <w:trHeight w:val="161"/>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LIABILITIES AND SHAREHOLDERS’ EQUITY</w:t>
            </w: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overdraft</w:t>
            </w:r>
          </w:p>
        </w:tc>
        <w:tc>
          <w:tcPr>
            <w:tcW w:w="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68,713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56,654</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482,041</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369,567</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25,772</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28,342</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Insurance claims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87,393</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87,343</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Dividends payable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68,117</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Liabilities held for sale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6,961</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101,837</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78,856</w:t>
            </w:r>
          </w:p>
        </w:tc>
        <w:tc>
          <w:tcPr>
            <w:tcW w:w="80" w:type="dxa"/>
            <w:vAlign w:val="bottom"/>
          </w:tcPr>
          <w:p>
            <w:pPr>
              <w:spacing w:after="0"/>
              <w:rPr>
                <w:sz w:val="13"/>
                <w:szCs w:val="13"/>
                <w:color w:val="auto"/>
              </w:rPr>
            </w:pPr>
          </w:p>
        </w:tc>
      </w:tr>
      <w:tr>
        <w:trPr>
          <w:trHeight w:val="151"/>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765,756</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695,840</w:t>
            </w:r>
          </w:p>
        </w:tc>
      </w:tr>
      <w:tr>
        <w:trPr>
          <w:trHeight w:val="151"/>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excluding current maturities</w:t>
            </w: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56,899</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48,480</w:t>
            </w:r>
          </w:p>
        </w:tc>
        <w:tc>
          <w:tcPr>
            <w:tcW w:w="80" w:type="dxa"/>
            <w:vAlign w:val="bottom"/>
          </w:tcPr>
          <w:p>
            <w:pPr>
              <w:spacing w:after="0"/>
              <w:rPr>
                <w:sz w:val="13"/>
                <w:szCs w:val="13"/>
                <w:color w:val="auto"/>
              </w:rPr>
            </w:pPr>
          </w:p>
        </w:tc>
      </w:tr>
      <w:tr>
        <w:trPr>
          <w:trHeight w:val="15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Insurance claims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103,299</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62,706</w:t>
            </w:r>
          </w:p>
        </w:tc>
      </w:tr>
      <w:tr>
        <w:trPr>
          <w:trHeight w:val="152"/>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taxes and other non-current liabilities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51,765</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33,244</w:t>
            </w:r>
          </w:p>
        </w:tc>
      </w:tr>
      <w:tr>
        <w:trPr>
          <w:trHeight w:val="15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Common stock, $0.01 par value, authorized 160,000,000 shares, issued 68,636,098 and 68,590,708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686</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686</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269,696</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261,256</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Retained earnings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2,947,019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2,852,680</w:t>
            </w:r>
          </w:p>
        </w:tc>
      </w:tr>
      <w:tr>
        <w:trPr>
          <w:trHeight w:val="152"/>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Cost of 34,927,155 and 34,531,982 shares of common stock in treasury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(2,378,302)</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(2,313,245)</w:t>
            </w:r>
          </w:p>
        </w:tc>
      </w:tr>
      <w:tr>
        <w:trPr>
          <w:trHeight w:val="152"/>
        </w:trPr>
        <w:tc>
          <w:tcPr>
            <w:tcW w:w="6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(9,103)</w:t>
            </w:r>
          </w:p>
        </w:tc>
        <w:tc>
          <w:tcPr>
            <w:tcW w:w="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(5,712)</w:t>
            </w:r>
          </w:p>
        </w:tc>
      </w:tr>
      <w:tr>
        <w:trPr>
          <w:trHeight w:val="151"/>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0" w:type="dxa"/>
            <w:vAlign w:val="bottom"/>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829,996</w:t>
            </w:r>
          </w:p>
        </w:tc>
        <w:tc>
          <w:tcPr>
            <w:tcW w:w="22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795,665</w:t>
            </w:r>
          </w:p>
        </w:tc>
        <w:tc>
          <w:tcPr>
            <w:tcW w:w="80" w:type="dxa"/>
            <w:vAlign w:val="bottom"/>
            <w:shd w:val="clear" w:color="auto" w:fill="CCEEFF"/>
          </w:tcPr>
          <w:p>
            <w:pPr>
              <w:spacing w:after="0"/>
              <w:rPr>
                <w:sz w:val="13"/>
                <w:szCs w:val="13"/>
                <w:color w:val="auto"/>
              </w:rPr>
            </w:pPr>
          </w:p>
        </w:tc>
      </w:tr>
      <w:tr>
        <w:trPr>
          <w:trHeight w:val="159"/>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1,807,715</w:t>
            </w:r>
          </w:p>
        </w:tc>
        <w:tc>
          <w:tcPr>
            <w:tcW w:w="2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1,635,935</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SYSTEM/8</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Supplemental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6"/>
          </w:tcPr>
          <w:p>
            <w:pPr>
              <w:jc w:val="right"/>
              <w:ind w:right="340"/>
              <w:spacing w:after="0"/>
              <w:rPr>
                <w:sz w:val="20"/>
                <w:szCs w:val="20"/>
                <w:color w:val="auto"/>
              </w:rPr>
            </w:pPr>
            <w:r>
              <w:rPr>
                <w:rFonts w:ascii="Times New Roman" w:cs="Times New Roman" w:eastAsia="Times New Roman" w:hAnsi="Times New Roman"/>
                <w:sz w:val="10"/>
                <w:szCs w:val="10"/>
                <w:color w:val="auto"/>
              </w:rPr>
              <w:t>Thirty-Nine Weeks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6"/>
          </w:tcPr>
          <w:p>
            <w:pPr>
              <w:jc w:val="right"/>
              <w:ind w:right="420"/>
              <w:spacing w:after="0"/>
              <w:rPr>
                <w:sz w:val="20"/>
                <w:szCs w:val="20"/>
                <w:color w:val="auto"/>
              </w:rPr>
            </w:pPr>
            <w:r>
              <w:rPr>
                <w:rFonts w:ascii="Times New Roman" w:cs="Times New Roman" w:eastAsia="Times New Roman" w:hAnsi="Times New Roman"/>
                <w:sz w:val="10"/>
                <w:szCs w:val="10"/>
                <w:color w:val="auto"/>
              </w:rPr>
              <w:t>Thirteen Weeks Ended</w:t>
            </w:r>
          </w:p>
        </w:tc>
      </w:tr>
      <w:tr>
        <w:trPr>
          <w:trHeight w:val="79"/>
        </w:trPr>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top w:val="single" w:sz="8" w:color="auto"/>
            </w:tcBorders>
            <w:gridSpan w:val="3"/>
          </w:tcPr>
          <w:p>
            <w:pPr>
              <w:jc w:val="right"/>
              <w:ind w:right="140"/>
              <w:spacing w:after="0" w:line="79" w:lineRule="exact"/>
              <w:rPr>
                <w:sz w:val="20"/>
                <w:szCs w:val="20"/>
                <w:color w:val="auto"/>
              </w:rPr>
            </w:pPr>
            <w:r>
              <w:rPr>
                <w:rFonts w:ascii="Times New Roman" w:cs="Times New Roman" w:eastAsia="Times New Roman" w:hAnsi="Times New Roman"/>
                <w:sz w:val="9"/>
                <w:szCs w:val="9"/>
                <w:color w:val="auto"/>
              </w:rPr>
              <w:t>September 26,</w:t>
            </w: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spacing w:after="0" w:line="79" w:lineRule="exact"/>
              <w:rPr>
                <w:sz w:val="20"/>
                <w:szCs w:val="20"/>
                <w:color w:val="auto"/>
              </w:rPr>
            </w:pPr>
            <w:r>
              <w:rPr>
                <w:rFonts w:ascii="Times New Roman" w:cs="Times New Roman" w:eastAsia="Times New Roman" w:hAnsi="Times New Roman"/>
                <w:sz w:val="9"/>
                <w:szCs w:val="9"/>
                <w:color w:val="auto"/>
              </w:rPr>
              <w:t>September 27,</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top w:val="single" w:sz="8" w:color="auto"/>
            </w:tcBorders>
            <w:gridSpan w:val="3"/>
          </w:tcPr>
          <w:p>
            <w:pPr>
              <w:spacing w:after="0" w:line="79" w:lineRule="exact"/>
              <w:rPr>
                <w:sz w:val="20"/>
                <w:szCs w:val="20"/>
                <w:color w:val="auto"/>
              </w:rPr>
            </w:pPr>
            <w:r>
              <w:rPr>
                <w:rFonts w:ascii="Times New Roman" w:cs="Times New Roman" w:eastAsia="Times New Roman" w:hAnsi="Times New Roman"/>
                <w:sz w:val="9"/>
                <w:szCs w:val="9"/>
                <w:color w:val="auto"/>
              </w:rPr>
              <w:t>September 26,</w:t>
            </w: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spacing w:after="0" w:line="79" w:lineRule="exact"/>
              <w:rPr>
                <w:sz w:val="20"/>
                <w:szCs w:val="20"/>
                <w:color w:val="auto"/>
              </w:rPr>
            </w:pPr>
            <w:r>
              <w:rPr>
                <w:rFonts w:ascii="Times New Roman" w:cs="Times New Roman" w:eastAsia="Times New Roman" w:hAnsi="Times New Roman"/>
                <w:sz w:val="9"/>
                <w:szCs w:val="9"/>
                <w:color w:val="auto"/>
              </w:rPr>
              <w:t>September 27,</w:t>
            </w:r>
          </w:p>
        </w:tc>
        <w:tc>
          <w:tcPr>
            <w:tcW w:w="160" w:type="dxa"/>
            <w:vAlign w:val="bottom"/>
          </w:tcPr>
          <w:p>
            <w:pPr>
              <w:spacing w:after="0"/>
              <w:rPr>
                <w:sz w:val="6"/>
                <w:szCs w:val="6"/>
                <w:color w:val="auto"/>
              </w:rPr>
            </w:pPr>
          </w:p>
        </w:tc>
      </w:tr>
      <w:tr>
        <w:trPr>
          <w:trHeight w:val="119"/>
        </w:trPr>
        <w:tc>
          <w:tcPr>
            <w:tcW w:w="8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260" w:type="dxa"/>
            <w:vAlign w:val="bottom"/>
            <w:tcBorders>
              <w:bottom w:val="single" w:sz="8" w:color="CCEEFF"/>
            </w:tcBorders>
          </w:tcPr>
          <w:p>
            <w:pPr>
              <w:spacing w:after="0"/>
              <w:rPr>
                <w:sz w:val="10"/>
                <w:szCs w:val="10"/>
                <w:color w:val="auto"/>
              </w:rPr>
            </w:pPr>
          </w:p>
        </w:tc>
        <w:tc>
          <w:tcPr>
            <w:tcW w:w="21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color w:val="auto"/>
              </w:rPr>
              <w:t>2026</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color w:val="auto"/>
              </w:rPr>
              <w:t>2025</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color w:val="auto"/>
              </w:rPr>
              <w:t>2026</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color w:val="auto"/>
              </w:rPr>
              <w:t>2025</w:t>
            </w:r>
          </w:p>
        </w:tc>
        <w:tc>
          <w:tcPr>
            <w:tcW w:w="160" w:type="dxa"/>
            <w:vAlign w:val="bottom"/>
            <w:tcBorders>
              <w:bottom w:val="single" w:sz="8" w:color="CCEEFF"/>
            </w:tcBorders>
          </w:tcPr>
          <w:p>
            <w:pPr>
              <w:spacing w:after="0"/>
              <w:rPr>
                <w:sz w:val="10"/>
                <w:szCs w:val="10"/>
                <w:color w:val="auto"/>
              </w:rPr>
            </w:pPr>
          </w:p>
        </w:tc>
      </w:tr>
      <w:tr>
        <w:trPr>
          <w:trHeight w:val="112"/>
        </w:trPr>
        <w:tc>
          <w:tcPr>
            <w:tcW w:w="2180" w:type="dxa"/>
            <w:vAlign w:val="bottom"/>
            <w:tcBorders>
              <w:bottom w:val="single" w:sz="8" w:color="auto"/>
            </w:tcBorders>
            <w:gridSpan w:val="3"/>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Revenue generated through (in thousands):</w:t>
            </w:r>
          </w:p>
        </w:tc>
        <w:tc>
          <w:tcPr>
            <w:tcW w:w="2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r>
      <w:tr>
        <w:trPr>
          <w:trHeight w:val="152"/>
        </w:trPr>
        <w:tc>
          <w:tcPr>
            <w:tcW w:w="434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Truck transportation</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2"/>
        </w:trPr>
        <w:tc>
          <w:tcPr>
            <w:tcW w:w="43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Truckload:</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2"/>
        </w:trPr>
        <w:tc>
          <w:tcPr>
            <w:tcW w:w="434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Van equipment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2,080,868</w:t>
            </w:r>
          </w:p>
        </w:tc>
        <w:tc>
          <w:tcPr>
            <w:tcW w:w="140" w:type="dxa"/>
            <w:vAlign w:val="bottom"/>
          </w:tcPr>
          <w:p>
            <w:pPr>
              <w:spacing w:after="0"/>
              <w:rPr>
                <w:sz w:val="13"/>
                <w:szCs w:val="13"/>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1,769,440</w:t>
            </w:r>
          </w:p>
        </w:tc>
        <w:tc>
          <w:tcPr>
            <w:tcW w:w="140" w:type="dxa"/>
            <w:vAlign w:val="bottom"/>
          </w:tcPr>
          <w:p>
            <w:pPr>
              <w:spacing w:after="0"/>
              <w:rPr>
                <w:sz w:val="13"/>
                <w:szCs w:val="13"/>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759,949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583,369</w:t>
            </w:r>
          </w:p>
        </w:tc>
      </w:tr>
      <w:tr>
        <w:trPr>
          <w:trHeight w:val="152"/>
        </w:trPr>
        <w:tc>
          <w:tcPr>
            <w:tcW w:w="434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Unsided/platform equipment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1,379,319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1,127,276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518,582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386,006</w:t>
            </w:r>
          </w:p>
        </w:tc>
      </w:tr>
      <w:tr>
        <w:trPr>
          <w:trHeight w:val="152"/>
        </w:trPr>
        <w:tc>
          <w:tcPr>
            <w:tcW w:w="434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Less-than-truckload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73,845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72,229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24,933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24,480</w:t>
            </w:r>
          </w:p>
        </w:tc>
      </w:tr>
      <w:tr>
        <w:trPr>
          <w:trHeight w:val="152"/>
        </w:trPr>
        <w:tc>
          <w:tcPr>
            <w:tcW w:w="4340" w:type="dxa"/>
            <w:vAlign w:val="bottom"/>
            <w:gridSpan w:val="4"/>
            <w:shd w:val="clear" w:color="auto" w:fill="CCEEFF"/>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Other truck transportation </w:t>
            </w:r>
            <w:r>
              <w:rPr>
                <w:rFonts w:ascii="Times New Roman" w:cs="Times New Roman" w:eastAsia="Times New Roman" w:hAnsi="Times New Roman"/>
                <w:sz w:val="17"/>
                <w:szCs w:val="17"/>
                <w:color w:val="auto"/>
                <w:vertAlign w:val="superscript"/>
              </w:rPr>
              <w:t>(1)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289,298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288,807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103,707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96,041</w:t>
            </w:r>
          </w:p>
        </w:tc>
      </w:tr>
      <w:tr>
        <w:trPr>
          <w:trHeight w:val="151"/>
        </w:trPr>
        <w:tc>
          <w:tcPr>
            <w:tcW w:w="434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Total truck transportation</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3,823,330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3,257,752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1,407,171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1,089,896</w:t>
            </w:r>
          </w:p>
        </w:tc>
        <w:tc>
          <w:tcPr>
            <w:tcW w:w="160" w:type="dxa"/>
            <w:vAlign w:val="bottom"/>
          </w:tcPr>
          <w:p>
            <w:pPr>
              <w:spacing w:after="0"/>
              <w:rPr>
                <w:sz w:val="13"/>
                <w:szCs w:val="13"/>
                <w:color w:val="auto"/>
              </w:rPr>
            </w:pPr>
          </w:p>
        </w:tc>
      </w:tr>
      <w:tr>
        <w:trPr>
          <w:trHeight w:val="152"/>
        </w:trPr>
        <w:tc>
          <w:tcPr>
            <w:tcW w:w="43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Rail intermodal</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74,881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63,183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27,806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23,668</w:t>
            </w:r>
          </w:p>
        </w:tc>
      </w:tr>
      <w:tr>
        <w:trPr>
          <w:trHeight w:val="152"/>
        </w:trPr>
        <w:tc>
          <w:tcPr>
            <w:tcW w:w="434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153,047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188,696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55,334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72,270</w:t>
            </w:r>
          </w:p>
        </w:tc>
      </w:tr>
      <w:tr>
        <w:trPr>
          <w:trHeight w:val="152"/>
        </w:trPr>
        <w:tc>
          <w:tcPr>
            <w:tcW w:w="4340" w:type="dxa"/>
            <w:vAlign w:val="bottom"/>
            <w:gridSpan w:val="4"/>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64,084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59,660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21,476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19,572</w:t>
            </w:r>
          </w:p>
        </w:tc>
      </w:tr>
      <w:tr>
        <w:trPr>
          <w:trHeight w:val="164"/>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4,115,342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3,569,291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1,511,787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1,205,406</w:t>
            </w:r>
          </w:p>
        </w:tc>
        <w:tc>
          <w:tcPr>
            <w:tcW w:w="160" w:type="dxa"/>
            <w:vAlign w:val="bottom"/>
          </w:tcPr>
          <w:p>
            <w:pPr>
              <w:spacing w:after="0"/>
              <w:rPr>
                <w:sz w:val="14"/>
                <w:szCs w:val="14"/>
                <w:color w:val="auto"/>
              </w:rPr>
            </w:pPr>
          </w:p>
        </w:tc>
      </w:tr>
      <w:tr>
        <w:trPr>
          <w:trHeight w:val="144"/>
        </w:trPr>
        <w:tc>
          <w:tcPr>
            <w:tcW w:w="4340" w:type="dxa"/>
            <w:vAlign w:val="bottom"/>
            <w:gridSpan w:val="4"/>
            <w:shd w:val="clear" w:color="auto" w:fill="CCEEFF"/>
          </w:tcPr>
          <w:p>
            <w:pPr>
              <w:ind w:left="260"/>
              <w:spacing w:after="0" w:line="144" w:lineRule="exact"/>
              <w:rPr>
                <w:sz w:val="20"/>
                <w:szCs w:val="20"/>
                <w:color w:val="auto"/>
              </w:rPr>
            </w:pPr>
            <w:r>
              <w:rPr>
                <w:rFonts w:ascii="Times New Roman" w:cs="Times New Roman" w:eastAsia="Times New Roman" w:hAnsi="Times New Roman"/>
                <w:sz w:val="11"/>
                <w:szCs w:val="11"/>
                <w:color w:val="auto"/>
              </w:rPr>
              <w:t xml:space="preserve">Revenue on loads hauled via BCO Independent Contractors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1"/>
                <w:szCs w:val="11"/>
                <w:color w:val="auto"/>
              </w:rPr>
              <w:t xml:space="preserve"> included in total</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4"/>
        </w:trPr>
        <w:tc>
          <w:tcPr>
            <w:tcW w:w="43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truck transportation</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1,629,408</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1,345,852</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590,987</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457,363</w:t>
            </w:r>
          </w:p>
        </w:tc>
      </w:tr>
      <w:tr>
        <w:trPr>
          <w:trHeight w:val="123"/>
        </w:trPr>
        <w:tc>
          <w:tcPr>
            <w:tcW w:w="4340" w:type="dxa"/>
            <w:vAlign w:val="bottom"/>
            <w:gridSpan w:val="4"/>
          </w:tcPr>
          <w:p>
            <w:pPr>
              <w:spacing w:after="0" w:line="123" w:lineRule="exact"/>
              <w:rPr>
                <w:sz w:val="20"/>
                <w:szCs w:val="20"/>
                <w:color w:val="auto"/>
              </w:rPr>
            </w:pPr>
            <w:r>
              <w:rPr>
                <w:rFonts w:ascii="Times New Roman" w:cs="Times New Roman" w:eastAsia="Times New Roman" w:hAnsi="Times New Roman"/>
                <w:sz w:val="13"/>
                <w:szCs w:val="13"/>
                <w:color w:val="auto"/>
              </w:rPr>
              <w:t>Number of loads: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8"/>
        </w:trPr>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2"/>
        </w:trPr>
        <w:tc>
          <w:tcPr>
            <w:tcW w:w="43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Truck transportation</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2"/>
        </w:trPr>
        <w:tc>
          <w:tcPr>
            <w:tcW w:w="434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Truckload: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2"/>
        </w:trPr>
        <w:tc>
          <w:tcPr>
            <w:tcW w:w="434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Van equipment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870,347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850,047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294,875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277,893</w:t>
            </w:r>
          </w:p>
        </w:tc>
      </w:tr>
      <w:tr>
        <w:trPr>
          <w:trHeight w:val="152"/>
        </w:trPr>
        <w:tc>
          <w:tcPr>
            <w:tcW w:w="434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Unsided/platform equipment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375,093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369,495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128,398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123,254</w:t>
            </w:r>
          </w:p>
        </w:tc>
      </w:tr>
      <w:tr>
        <w:trPr>
          <w:trHeight w:val="152"/>
        </w:trPr>
        <w:tc>
          <w:tcPr>
            <w:tcW w:w="43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Less-than-truckload</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95,729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115,692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29,834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38,862</w:t>
            </w:r>
          </w:p>
        </w:tc>
      </w:tr>
      <w:tr>
        <w:trPr>
          <w:trHeight w:val="152"/>
        </w:trPr>
        <w:tc>
          <w:tcPr>
            <w:tcW w:w="4340" w:type="dxa"/>
            <w:vAlign w:val="bottom"/>
            <w:gridSpan w:val="4"/>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Other truck transportation </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143,311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135,606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47,543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45,421</w:t>
            </w: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1"/>
        </w:trPr>
        <w:tc>
          <w:tcPr>
            <w:tcW w:w="434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truck transportation</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1,484,480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1,470,840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500,650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485,430</w:t>
            </w:r>
          </w:p>
        </w:tc>
      </w:tr>
      <w:tr>
        <w:trPr>
          <w:trHeight w:val="152"/>
        </w:trPr>
        <w:tc>
          <w:tcPr>
            <w:tcW w:w="434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Rail intermodal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23,600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21,960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8,490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7,990</w:t>
            </w:r>
          </w:p>
        </w:tc>
      </w:tr>
      <w:tr>
        <w:trPr>
          <w:trHeight w:val="152"/>
        </w:trPr>
        <w:tc>
          <w:tcPr>
            <w:tcW w:w="43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20,840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24,370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6,970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7,810</w:t>
            </w:r>
          </w:p>
        </w:tc>
      </w:tr>
      <w:tr>
        <w:trPr>
          <w:trHeight w:val="164"/>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1,528,920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1,517,170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516,110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501,230</w:t>
            </w:r>
          </w:p>
        </w:tc>
        <w:tc>
          <w:tcPr>
            <w:tcW w:w="160" w:type="dxa"/>
            <w:vAlign w:val="bottom"/>
          </w:tcPr>
          <w:p>
            <w:pPr>
              <w:spacing w:after="0"/>
              <w:rPr>
                <w:sz w:val="14"/>
                <w:szCs w:val="14"/>
                <w:color w:val="auto"/>
              </w:rPr>
            </w:pPr>
          </w:p>
        </w:tc>
      </w:tr>
      <w:tr>
        <w:trPr>
          <w:trHeight w:val="144"/>
        </w:trPr>
        <w:tc>
          <w:tcPr>
            <w:tcW w:w="4340" w:type="dxa"/>
            <w:vAlign w:val="bottom"/>
            <w:gridSpan w:val="4"/>
            <w:shd w:val="clear" w:color="auto" w:fill="CCEEFF"/>
          </w:tcPr>
          <w:p>
            <w:pPr>
              <w:ind w:left="260"/>
              <w:spacing w:after="0" w:line="144" w:lineRule="exact"/>
              <w:rPr>
                <w:sz w:val="20"/>
                <w:szCs w:val="20"/>
                <w:color w:val="auto"/>
              </w:rPr>
            </w:pPr>
            <w:r>
              <w:rPr>
                <w:rFonts w:ascii="Times New Roman" w:cs="Times New Roman" w:eastAsia="Times New Roman" w:hAnsi="Times New Roman"/>
                <w:sz w:val="11"/>
                <w:szCs w:val="11"/>
                <w:color w:val="auto"/>
              </w:rPr>
              <w:t xml:space="preserve">Loads hauled via BCO Independent Contractors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1"/>
                <w:szCs w:val="11"/>
                <w:color w:val="auto"/>
              </w:rPr>
              <w:t xml:space="preserve"> included in total truck</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4"/>
        </w:trPr>
        <w:tc>
          <w:tcPr>
            <w:tcW w:w="43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transportation</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644,870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597,010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212,660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199,010</w:t>
            </w:r>
          </w:p>
        </w:tc>
      </w:tr>
      <w:tr>
        <w:trPr>
          <w:trHeight w:val="132"/>
        </w:trPr>
        <w:tc>
          <w:tcPr>
            <w:tcW w:w="92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color w:val="auto"/>
                <w:w w:val="95"/>
              </w:rPr>
              <w:t>Revenue per load:</w:t>
            </w:r>
          </w:p>
        </w:tc>
        <w:tc>
          <w:tcPr>
            <w:tcW w:w="34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2"/>
        </w:trPr>
        <w:tc>
          <w:tcPr>
            <w:tcW w:w="43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Truck transportation</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2"/>
        </w:trPr>
        <w:tc>
          <w:tcPr>
            <w:tcW w:w="434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Truckload: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2"/>
        </w:trPr>
        <w:tc>
          <w:tcPr>
            <w:tcW w:w="434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Van equipment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2,577</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2,099</w:t>
            </w:r>
          </w:p>
        </w:tc>
      </w:tr>
      <w:tr>
        <w:trPr>
          <w:trHeight w:val="152"/>
        </w:trPr>
        <w:tc>
          <w:tcPr>
            <w:tcW w:w="434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Unsided/platform equipment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3,132</w:t>
            </w:r>
          </w:p>
        </w:tc>
      </w:tr>
      <w:tr>
        <w:trPr>
          <w:trHeight w:val="152"/>
        </w:trPr>
        <w:tc>
          <w:tcPr>
            <w:tcW w:w="43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Less-than-truckload</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836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630</w:t>
            </w:r>
          </w:p>
        </w:tc>
      </w:tr>
      <w:tr>
        <w:trPr>
          <w:trHeight w:val="152"/>
        </w:trPr>
        <w:tc>
          <w:tcPr>
            <w:tcW w:w="4340" w:type="dxa"/>
            <w:vAlign w:val="bottom"/>
            <w:gridSpan w:val="4"/>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Other truck transportation </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2,181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2,114</w:t>
            </w:r>
          </w:p>
        </w:tc>
      </w:tr>
      <w:tr>
        <w:trPr>
          <w:trHeight w:val="152"/>
        </w:trPr>
        <w:tc>
          <w:tcPr>
            <w:tcW w:w="434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truck transportation</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2,811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2,245</w:t>
            </w:r>
          </w:p>
        </w:tc>
      </w:tr>
      <w:tr>
        <w:trPr>
          <w:trHeight w:val="152"/>
        </w:trPr>
        <w:tc>
          <w:tcPr>
            <w:tcW w:w="434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Rail intermodal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3,275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2,962</w:t>
            </w:r>
          </w:p>
        </w:tc>
      </w:tr>
      <w:tr>
        <w:trPr>
          <w:trHeight w:val="152"/>
        </w:trPr>
        <w:tc>
          <w:tcPr>
            <w:tcW w:w="43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7,939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9,254</w:t>
            </w:r>
          </w:p>
        </w:tc>
      </w:tr>
      <w:tr>
        <w:trPr>
          <w:trHeight w:val="152"/>
        </w:trPr>
        <w:tc>
          <w:tcPr>
            <w:tcW w:w="4340" w:type="dxa"/>
            <w:vAlign w:val="bottom"/>
            <w:gridSpan w:val="4"/>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Revenue per load on loads hauled via BCO Independent Contractors </w:t>
            </w:r>
            <w:r>
              <w:rPr>
                <w:rFonts w:ascii="Times New Roman" w:cs="Times New Roman" w:eastAsia="Times New Roman" w:hAnsi="Times New Roman"/>
                <w:sz w:val="17"/>
                <w:szCs w:val="17"/>
                <w:color w:val="auto"/>
                <w:vertAlign w:val="superscript"/>
              </w:rPr>
              <w:t>(3)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140" w:type="dxa"/>
            <w:vAlign w:val="bottom"/>
          </w:tcPr>
          <w:p>
            <w:pPr>
              <w:spacing w:after="0"/>
              <w:rPr>
                <w:sz w:val="13"/>
                <w:szCs w:val="13"/>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2,254</w:t>
            </w:r>
          </w:p>
        </w:tc>
        <w:tc>
          <w:tcPr>
            <w:tcW w:w="140" w:type="dxa"/>
            <w:vAlign w:val="bottom"/>
          </w:tcPr>
          <w:p>
            <w:pPr>
              <w:spacing w:after="0"/>
              <w:rPr>
                <w:sz w:val="13"/>
                <w:szCs w:val="13"/>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2,779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2,298</w:t>
            </w:r>
          </w:p>
        </w:tc>
      </w:tr>
    </w:tbl>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374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Revenue by capacity type (as a % of total revenue):</w:t>
            </w:r>
          </w:p>
        </w:tc>
        <w:tc>
          <w:tcPr>
            <w:tcW w:w="1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52"/>
        </w:trPr>
        <w:tc>
          <w:tcPr>
            <w:tcW w:w="26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Truck capacity providers:</w:t>
            </w:r>
          </w:p>
        </w:tc>
        <w:tc>
          <w:tcPr>
            <w:tcW w:w="114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r>
      <w:tr>
        <w:trPr>
          <w:trHeight w:val="152"/>
        </w:trPr>
        <w:tc>
          <w:tcPr>
            <w:tcW w:w="3740" w:type="dxa"/>
            <w:vAlign w:val="bottom"/>
            <w:gridSpan w:val="2"/>
            <w:shd w:val="clear" w:color="auto" w:fill="CCEEFF"/>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BCO Independent Contractors </w:t>
            </w:r>
            <w:r>
              <w:rPr>
                <w:rFonts w:ascii="Times New Roman" w:cs="Times New Roman" w:eastAsia="Times New Roman" w:hAnsi="Times New Roman"/>
                <w:sz w:val="17"/>
                <w:szCs w:val="17"/>
                <w:color w:val="auto"/>
                <w:vertAlign w:val="superscript"/>
              </w:rPr>
              <w:t>(3)</w:t>
            </w:r>
          </w:p>
        </w:tc>
        <w:tc>
          <w:tcPr>
            <w:tcW w:w="16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40%</w:t>
            </w:r>
          </w:p>
        </w:tc>
        <w:tc>
          <w:tcPr>
            <w:tcW w:w="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38%</w:t>
            </w:r>
          </w:p>
        </w:tc>
        <w:tc>
          <w:tcPr>
            <w:tcW w:w="8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39%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37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Truck Brokerage Carriers</w:t>
            </w:r>
          </w:p>
        </w:tc>
        <w:tc>
          <w:tcPr>
            <w:tcW w:w="16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53%</w:t>
            </w:r>
          </w:p>
        </w:tc>
        <w:tc>
          <w:tcPr>
            <w:tcW w:w="8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54%</w:t>
            </w: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54%</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3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Rail intermodal</w:t>
            </w:r>
          </w:p>
        </w:tc>
        <w:tc>
          <w:tcPr>
            <w:tcW w:w="16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Ocean and air cargo carriers</w:t>
            </w:r>
          </w:p>
        </w:tc>
        <w:tc>
          <w:tcPr>
            <w:tcW w:w="16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4%</w:t>
            </w:r>
          </w:p>
        </w:tc>
        <w:tc>
          <w:tcPr>
            <w:tcW w:w="8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5%</w:t>
            </w: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2"/>
        </w:trPr>
        <w:tc>
          <w:tcPr>
            <w:tcW w:w="3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16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13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w w:val="96"/>
              </w:rPr>
              <w:t>September 26,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6"/>
              </w:rPr>
              <w:t>September 27,</w:t>
            </w:r>
          </w:p>
        </w:tc>
      </w:tr>
      <w:tr>
        <w:trPr>
          <w:trHeight w:val="119"/>
        </w:trPr>
        <w:tc>
          <w:tcPr>
            <w:tcW w:w="1320" w:type="dxa"/>
            <w:vAlign w:val="bottom"/>
            <w:tcBorders>
              <w:bottom w:val="single" w:sz="8" w:color="CCEEFF"/>
            </w:tcBorders>
          </w:tcPr>
          <w:p>
            <w:pPr>
              <w:spacing w:after="0"/>
              <w:rPr>
                <w:sz w:val="10"/>
                <w:szCs w:val="10"/>
                <w:color w:val="auto"/>
              </w:rPr>
            </w:pPr>
          </w:p>
        </w:tc>
        <w:tc>
          <w:tcPr>
            <w:tcW w:w="48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0"/>
                <w:szCs w:val="10"/>
                <w:color w:val="auto"/>
              </w:rPr>
              <w:t>2026</w:t>
            </w:r>
          </w:p>
        </w:tc>
        <w:tc>
          <w:tcPr>
            <w:tcW w:w="2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0"/>
                <w:szCs w:val="10"/>
                <w:color w:val="auto"/>
              </w:rPr>
              <w:t>2025</w:t>
            </w:r>
          </w:p>
        </w:tc>
        <w:tc>
          <w:tcPr>
            <w:tcW w:w="160" w:type="dxa"/>
            <w:vAlign w:val="bottom"/>
            <w:tcBorders>
              <w:bottom w:val="single" w:sz="8" w:color="CCEEFF"/>
            </w:tcBorders>
          </w:tcPr>
          <w:p>
            <w:pPr>
              <w:spacing w:after="0"/>
              <w:rPr>
                <w:sz w:val="10"/>
                <w:szCs w:val="10"/>
                <w:color w:val="auto"/>
              </w:rPr>
            </w:pPr>
          </w:p>
        </w:tc>
      </w:tr>
      <w:tr>
        <w:trPr>
          <w:trHeight w:val="103"/>
        </w:trPr>
        <w:tc>
          <w:tcPr>
            <w:tcW w:w="6140" w:type="dxa"/>
            <w:vAlign w:val="bottom"/>
            <w:gridSpan w:val="2"/>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Truck Capacity Providers:</w:t>
            </w:r>
          </w:p>
        </w:tc>
        <w:tc>
          <w:tcPr>
            <w:tcW w:w="5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28"/>
        </w:trPr>
        <w:tc>
          <w:tcPr>
            <w:tcW w:w="1320" w:type="dxa"/>
            <w:vAlign w:val="bottom"/>
            <w:shd w:val="clear" w:color="auto" w:fill="000000"/>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52"/>
        </w:trPr>
        <w:tc>
          <w:tcPr>
            <w:tcW w:w="6140" w:type="dxa"/>
            <w:vAlign w:val="bottom"/>
            <w:gridSpan w:val="2"/>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BCO Independent Contractors </w:t>
            </w:r>
            <w:r>
              <w:rPr>
                <w:rFonts w:ascii="Times New Roman" w:cs="Times New Roman" w:eastAsia="Times New Roman" w:hAnsi="Times New Roman"/>
                <w:sz w:val="17"/>
                <w:szCs w:val="17"/>
                <w:color w:val="auto"/>
                <w:vertAlign w:val="superscript"/>
              </w:rPr>
              <w:t>(3)</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7,843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7,827</w:t>
            </w:r>
          </w:p>
        </w:tc>
      </w:tr>
      <w:tr>
        <w:trPr>
          <w:trHeight w:val="151"/>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Truck Brokerage Carriers:</w:t>
            </w:r>
          </w:p>
        </w:tc>
        <w:tc>
          <w:tcPr>
            <w:tcW w:w="58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2"/>
        </w:trPr>
        <w:tc>
          <w:tcPr>
            <w:tcW w:w="6140" w:type="dxa"/>
            <w:vAlign w:val="bottom"/>
            <w:gridSpan w:val="2"/>
          </w:tcPr>
          <w:p>
            <w:pPr>
              <w:ind w:left="500"/>
              <w:spacing w:after="0" w:line="152" w:lineRule="exact"/>
              <w:rPr>
                <w:sz w:val="20"/>
                <w:szCs w:val="20"/>
                <w:color w:val="auto"/>
              </w:rPr>
            </w:pPr>
            <w:r>
              <w:rPr>
                <w:rFonts w:ascii="Times New Roman" w:cs="Times New Roman" w:eastAsia="Times New Roman" w:hAnsi="Times New Roman"/>
                <w:sz w:val="12"/>
                <w:szCs w:val="12"/>
                <w:color w:val="auto"/>
              </w:rPr>
              <w:t xml:space="preserve">Approved and active </w:t>
            </w:r>
            <w:r>
              <w:rPr>
                <w:rFonts w:ascii="Times New Roman" w:cs="Times New Roman" w:eastAsia="Times New Roman" w:hAnsi="Times New Roman"/>
                <w:sz w:val="17"/>
                <w:szCs w:val="17"/>
                <w:color w:val="auto"/>
                <w:vertAlign w:val="superscript"/>
              </w:rPr>
              <w:t>(4)</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39,460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40,004</w:t>
            </w:r>
          </w:p>
        </w:tc>
      </w:tr>
      <w:tr>
        <w:trPr>
          <w:trHeight w:val="152"/>
        </w:trPr>
        <w:tc>
          <w:tcPr>
            <w:tcW w:w="6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Other approved</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28,455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27,461</w:t>
            </w:r>
          </w:p>
        </w:tc>
      </w:tr>
      <w:tr>
        <w:trPr>
          <w:trHeight w:val="151"/>
        </w:trPr>
        <w:tc>
          <w:tcPr>
            <w:tcW w:w="13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67,915</w:t>
            </w:r>
          </w:p>
        </w:tc>
        <w:tc>
          <w:tcPr>
            <w:tcW w:w="2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67,465</w:t>
            </w:r>
          </w:p>
        </w:tc>
        <w:tc>
          <w:tcPr>
            <w:tcW w:w="160" w:type="dxa"/>
            <w:vAlign w:val="bottom"/>
          </w:tcPr>
          <w:p>
            <w:pPr>
              <w:spacing w:after="0"/>
              <w:rPr>
                <w:sz w:val="13"/>
                <w:szCs w:val="13"/>
                <w:color w:val="auto"/>
              </w:rPr>
            </w:pPr>
          </w:p>
        </w:tc>
      </w:tr>
      <w:tr>
        <w:trPr>
          <w:trHeight w:val="159"/>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available truck capacity providers</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75,758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75,292</w:t>
            </w:r>
          </w:p>
        </w:tc>
      </w:tr>
      <w:tr>
        <w:trPr>
          <w:trHeight w:val="249"/>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xml:space="preserve">Trucks provided by BCO Independent Contractors </w:t>
            </w:r>
            <w:r>
              <w:rPr>
                <w:rFonts w:ascii="Times New Roman" w:cs="Times New Roman" w:eastAsia="Times New Roman" w:hAnsi="Times New Roman"/>
                <w:sz w:val="18"/>
                <w:szCs w:val="18"/>
                <w:color w:val="auto"/>
                <w:vertAlign w:val="superscript"/>
              </w:rPr>
              <w:t>(3)</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8,709</w:t>
            </w:r>
          </w:p>
        </w:tc>
        <w:tc>
          <w:tcPr>
            <w:tcW w:w="280" w:type="dxa"/>
            <w:vAlign w:val="bottom"/>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8,618</w:t>
            </w:r>
          </w:p>
        </w:tc>
        <w:tc>
          <w:tcPr>
            <w:tcW w:w="160" w:type="dxa"/>
            <w:vAlign w:val="bottom"/>
          </w:tcPr>
          <w:p>
            <w:pPr>
              <w:spacing w:after="0"/>
              <w:rPr>
                <w:sz w:val="21"/>
                <w:szCs w:val="21"/>
                <w:color w:val="auto"/>
              </w:rPr>
            </w:pPr>
          </w:p>
        </w:tc>
      </w:tr>
    </w:tbl>
    <w:p>
      <w:pPr>
        <w:spacing w:after="0" w:line="69" w:lineRule="exact"/>
        <w:rPr>
          <w:sz w:val="20"/>
          <w:szCs w:val="20"/>
          <w:color w:val="auto"/>
        </w:rPr>
      </w:pPr>
    </w:p>
    <w:p>
      <w:pPr>
        <w:ind w:left="940" w:right="699" w:hanging="303"/>
        <w:spacing w:after="0" w:line="250" w:lineRule="auto"/>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ind w:left="940" w:right="759" w:hanging="303"/>
        <w:spacing w:after="0" w:line="243" w:lineRule="auto"/>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primarily reinsurance premium revenue generated by the insurance segment and intra-Mexico transportation services revenue generated by Landstar Metro.</w:t>
      </w:r>
    </w:p>
    <w:p>
      <w:pPr>
        <w:ind w:left="940" w:hanging="303"/>
        <w:spacing w:after="0"/>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BCO Independent Contractors are independent contractors who provide truck capacity to the Company under exclusive lease arrangements.</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Active refers to Truck Brokerage Carriers who moved at least one load in the 180 days immediately preceding the fiscal quarter end.</w:t>
      </w:r>
    </w:p>
    <w:p>
      <w:pPr>
        <w:sectPr>
          <w:pgSz w:w="11900" w:h="16838" w:orient="portrait"/>
          <w:cols w:equalWidth="0" w:num="1">
            <w:col w:w="9019"/>
          </w:cols>
          <w:pgMar w:left="1440" w:top="229"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LANDSTAR SYSTEM/9</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Landstar System, Inc. and Subsidiary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Reconciliation of Gross Profit to Variable Contribution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gridSpan w:val="6"/>
          </w:tcPr>
          <w:p>
            <w:pPr>
              <w:jc w:val="right"/>
              <w:ind w:right="400"/>
              <w:spacing w:after="0"/>
              <w:rPr>
                <w:sz w:val="20"/>
                <w:szCs w:val="20"/>
                <w:color w:val="auto"/>
              </w:rPr>
            </w:pPr>
            <w:r>
              <w:rPr>
                <w:rFonts w:ascii="Times New Roman" w:cs="Times New Roman" w:eastAsia="Times New Roman" w:hAnsi="Times New Roman"/>
                <w:sz w:val="10"/>
                <w:szCs w:val="10"/>
                <w:color w:val="auto"/>
              </w:rPr>
              <w:t>Thirty-Nine Weeks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6"/>
          </w:tcPr>
          <w:p>
            <w:pPr>
              <w:jc w:val="right"/>
              <w:ind w:right="420"/>
              <w:spacing w:after="0"/>
              <w:rPr>
                <w:sz w:val="20"/>
                <w:szCs w:val="20"/>
                <w:color w:val="auto"/>
              </w:rPr>
            </w:pPr>
            <w:r>
              <w:rPr>
                <w:rFonts w:ascii="Times New Roman" w:cs="Times New Roman" w:eastAsia="Times New Roman" w:hAnsi="Times New Roman"/>
                <w:sz w:val="10"/>
                <w:szCs w:val="10"/>
                <w:color w:val="auto"/>
              </w:rPr>
              <w:t>Thirteen Weeks Ended</w:t>
            </w:r>
          </w:p>
        </w:tc>
        <w:tc>
          <w:tcPr>
            <w:tcW w:w="0" w:type="dxa"/>
            <w:vAlign w:val="bottom"/>
          </w:tcPr>
          <w:p>
            <w:pPr>
              <w:spacing w:after="0"/>
              <w:rPr>
                <w:sz w:val="1"/>
                <w:szCs w:val="1"/>
                <w:color w:val="auto"/>
              </w:rPr>
            </w:pPr>
          </w:p>
        </w:tc>
      </w:tr>
      <w:tr>
        <w:trPr>
          <w:trHeight w:val="79"/>
        </w:trPr>
        <w:tc>
          <w:tcPr>
            <w:tcW w:w="3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top w:val="single" w:sz="8" w:color="auto"/>
            </w:tcBorders>
            <w:gridSpan w:val="3"/>
          </w:tcPr>
          <w:p>
            <w:pPr>
              <w:jc w:val="right"/>
              <w:ind w:right="200"/>
              <w:spacing w:after="0" w:line="79" w:lineRule="exact"/>
              <w:rPr>
                <w:sz w:val="20"/>
                <w:szCs w:val="20"/>
                <w:color w:val="auto"/>
              </w:rPr>
            </w:pPr>
            <w:r>
              <w:rPr>
                <w:rFonts w:ascii="Times New Roman" w:cs="Times New Roman" w:eastAsia="Times New Roman" w:hAnsi="Times New Roman"/>
                <w:sz w:val="9"/>
                <w:szCs w:val="9"/>
                <w:color w:val="auto"/>
              </w:rPr>
              <w:t>September 26,</w:t>
            </w: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spacing w:after="0" w:line="79" w:lineRule="exact"/>
              <w:rPr>
                <w:sz w:val="20"/>
                <w:szCs w:val="20"/>
                <w:color w:val="auto"/>
              </w:rPr>
            </w:pPr>
            <w:r>
              <w:rPr>
                <w:rFonts w:ascii="Times New Roman" w:cs="Times New Roman" w:eastAsia="Times New Roman" w:hAnsi="Times New Roman"/>
                <w:sz w:val="9"/>
                <w:szCs w:val="9"/>
                <w:color w:val="auto"/>
              </w:rPr>
              <w:t>September 27,</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Borders>
              <w:top w:val="single" w:sz="8" w:color="auto"/>
            </w:tcBorders>
            <w:gridSpan w:val="3"/>
          </w:tcPr>
          <w:p>
            <w:pPr>
              <w:spacing w:after="0" w:line="79" w:lineRule="exact"/>
              <w:rPr>
                <w:sz w:val="20"/>
                <w:szCs w:val="20"/>
                <w:color w:val="auto"/>
              </w:rPr>
            </w:pPr>
            <w:r>
              <w:rPr>
                <w:rFonts w:ascii="Times New Roman" w:cs="Times New Roman" w:eastAsia="Times New Roman" w:hAnsi="Times New Roman"/>
                <w:sz w:val="9"/>
                <w:szCs w:val="9"/>
                <w:color w:val="auto"/>
              </w:rPr>
              <w:t>September 26,</w:t>
            </w: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spacing w:after="0" w:line="79" w:lineRule="exact"/>
              <w:rPr>
                <w:sz w:val="20"/>
                <w:szCs w:val="20"/>
                <w:color w:val="auto"/>
              </w:rPr>
            </w:pPr>
            <w:r>
              <w:rPr>
                <w:rFonts w:ascii="Times New Roman" w:cs="Times New Roman" w:eastAsia="Times New Roman" w:hAnsi="Times New Roman"/>
                <w:sz w:val="9"/>
                <w:szCs w:val="9"/>
                <w:color w:val="auto"/>
              </w:rPr>
              <w:t>September 27,</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3280" w:type="dxa"/>
            <w:vAlign w:val="bottom"/>
            <w:tcBorders>
              <w:bottom w:val="single" w:sz="8" w:color="CCEEFF"/>
            </w:tcBorders>
          </w:tcPr>
          <w:p>
            <w:pPr>
              <w:spacing w:after="0"/>
              <w:rPr>
                <w:sz w:val="10"/>
                <w:szCs w:val="10"/>
                <w:color w:val="auto"/>
              </w:rPr>
            </w:pPr>
          </w:p>
        </w:tc>
        <w:tc>
          <w:tcPr>
            <w:tcW w:w="1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color w:val="auto"/>
              </w:rPr>
              <w:t>2026</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color w:val="auto"/>
              </w:rPr>
              <w:t>2025</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color w:val="auto"/>
              </w:rPr>
              <w:t>2026</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color w:val="auto"/>
              </w:rPr>
              <w:t>2025</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4,115,342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3,569,291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1,511,787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1,205,406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Costs of revenue:</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Purchased transportation</w:t>
            </w: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3,212,442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2,775,761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2"/>
              </w:rPr>
              <w:t>1,182,045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936,472</w:t>
            </w:r>
          </w:p>
        </w:tc>
        <w:tc>
          <w:tcPr>
            <w:tcW w:w="0" w:type="dxa"/>
            <w:vAlign w:val="bottom"/>
          </w:tcPr>
          <w:p>
            <w:pPr>
              <w:spacing w:after="0"/>
              <w:rPr>
                <w:sz w:val="1"/>
                <w:szCs w:val="1"/>
                <w:color w:val="auto"/>
              </w:rPr>
            </w:pPr>
          </w:p>
        </w:tc>
      </w:tr>
      <w:tr>
        <w:trPr>
          <w:trHeight w:val="152"/>
        </w:trPr>
        <w:tc>
          <w:tcPr>
            <w:tcW w:w="32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Commissions to agents</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319,254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117,676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98,693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Variable costs of revenue</w:t>
            </w: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3,531,696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3,067,290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2"/>
              </w:rPr>
              <w:t>1,299,721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2"/>
              </w:rPr>
              <w:t>1,035,165</w:t>
            </w:r>
          </w:p>
        </w:tc>
        <w:tc>
          <w:tcPr>
            <w:tcW w:w="0" w:type="dxa"/>
            <w:vAlign w:val="bottom"/>
          </w:tcPr>
          <w:p>
            <w:pPr>
              <w:spacing w:after="0"/>
              <w:rPr>
                <w:sz w:val="1"/>
                <w:szCs w:val="1"/>
                <w:color w:val="auto"/>
              </w:rPr>
            </w:pPr>
          </w:p>
        </w:tc>
      </w:tr>
      <w:tr>
        <w:trPr>
          <w:trHeight w:val="152"/>
        </w:trPr>
        <w:tc>
          <w:tcPr>
            <w:tcW w:w="32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Trailing equipment depreciation</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19,108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20,829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6,489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6,985</w:t>
            </w:r>
          </w:p>
        </w:tc>
        <w:tc>
          <w:tcPr>
            <w:tcW w:w="0" w:type="dxa"/>
            <w:vAlign w:val="bottom"/>
          </w:tcPr>
          <w:p>
            <w:pPr>
              <w:spacing w:after="0"/>
              <w:rPr>
                <w:sz w:val="1"/>
                <w:szCs w:val="1"/>
                <w:color w:val="auto"/>
              </w:rPr>
            </w:pPr>
          </w:p>
        </w:tc>
      </w:tr>
      <w:tr>
        <w:trPr>
          <w:trHeight w:val="152"/>
        </w:trPr>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Information technology costs (1)</w:t>
            </w: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10,928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2,503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3,319</w:t>
            </w:r>
          </w:p>
        </w:tc>
        <w:tc>
          <w:tcPr>
            <w:tcW w:w="0" w:type="dxa"/>
            <w:vAlign w:val="bottom"/>
          </w:tcPr>
          <w:p>
            <w:pPr>
              <w:spacing w:after="0"/>
              <w:rPr>
                <w:sz w:val="1"/>
                <w:szCs w:val="1"/>
                <w:color w:val="auto"/>
              </w:rPr>
            </w:pPr>
          </w:p>
        </w:tc>
      </w:tr>
      <w:tr>
        <w:trPr>
          <w:trHeight w:val="152"/>
        </w:trPr>
        <w:tc>
          <w:tcPr>
            <w:tcW w:w="32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Insurance-related costs (2)</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130,955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55,301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33,305</w:t>
            </w:r>
          </w:p>
        </w:tc>
        <w:tc>
          <w:tcPr>
            <w:tcW w:w="0" w:type="dxa"/>
            <w:vAlign w:val="bottom"/>
          </w:tcPr>
          <w:p>
            <w:pPr>
              <w:spacing w:after="0"/>
              <w:rPr>
                <w:sz w:val="1"/>
                <w:szCs w:val="1"/>
                <w:color w:val="auto"/>
              </w:rPr>
            </w:pPr>
          </w:p>
        </w:tc>
      </w:tr>
      <w:tr>
        <w:trPr>
          <w:trHeight w:val="152"/>
        </w:trPr>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Other operating costs</w:t>
            </w: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53,971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46,996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21,226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15,572</w:t>
            </w:r>
          </w:p>
        </w:tc>
        <w:tc>
          <w:tcPr>
            <w:tcW w:w="0" w:type="dxa"/>
            <w:vAlign w:val="bottom"/>
          </w:tcPr>
          <w:p>
            <w:pPr>
              <w:spacing w:after="0"/>
              <w:rPr>
                <w:sz w:val="1"/>
                <w:szCs w:val="1"/>
                <w:color w:val="auto"/>
              </w:rPr>
            </w:pPr>
          </w:p>
        </w:tc>
      </w:tr>
      <w:tr>
        <w:trPr>
          <w:trHeight w:val="151"/>
        </w:trPr>
        <w:tc>
          <w:tcPr>
            <w:tcW w:w="3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costs of revenue</w:t>
            </w:r>
          </w:p>
        </w:tc>
        <w:tc>
          <w:tcPr>
            <w:tcW w:w="11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212,220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183,375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59,181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costs of revenue</w:t>
            </w: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3,743,916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3,250,665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2"/>
              </w:rPr>
              <w:t>1,385,240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2"/>
              </w:rPr>
              <w:t>1,094,346</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371,426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318,626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126,547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111,060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52"/>
        </w:trPr>
        <w:tc>
          <w:tcPr>
            <w:tcW w:w="3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Plus: other costs of revenue</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183,375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85,519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59,181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contribution</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583,646</w:t>
            </w:r>
          </w:p>
        </w:tc>
        <w:tc>
          <w:tcPr>
            <w:tcW w:w="2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502,001</w:t>
            </w:r>
          </w:p>
        </w:tc>
        <w:tc>
          <w:tcPr>
            <w:tcW w:w="2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212,066</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170,241</w:t>
            </w:r>
          </w:p>
        </w:tc>
        <w:tc>
          <w:tcPr>
            <w:tcW w:w="0" w:type="dxa"/>
            <w:vAlign w:val="bottom"/>
          </w:tcPr>
          <w:p>
            <w:pPr>
              <w:spacing w:after="0"/>
              <w:rPr>
                <w:sz w:val="1"/>
                <w:szCs w:val="1"/>
                <w:color w:val="auto"/>
              </w:rPr>
            </w:pPr>
          </w:p>
        </w:tc>
      </w:tr>
      <w:tr>
        <w:trPr>
          <w:trHeight w:val="28"/>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Variable contribution margin</w:t>
            </w:r>
          </w:p>
        </w:tc>
        <w:tc>
          <w:tcPr>
            <w:tcW w:w="1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32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40" w:right="879" w:hanging="303"/>
        <w:spacing w:after="0" w:line="248"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costs of revenue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w:t>
      </w:r>
    </w:p>
    <w:p>
      <w:pPr>
        <w:spacing w:after="0" w:line="1" w:lineRule="exact"/>
        <w:rPr>
          <w:rFonts w:ascii="Times New Roman" w:cs="Times New Roman" w:eastAsia="Times New Roman" w:hAnsi="Times New Roman"/>
          <w:sz w:val="13"/>
          <w:szCs w:val="13"/>
          <w:color w:val="auto"/>
        </w:rPr>
      </w:pPr>
    </w:p>
    <w:p>
      <w:pPr>
        <w:ind w:left="940" w:right="879" w:hanging="303"/>
        <w:spacing w:after="0" w:line="244"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Primarily includes (i) insurance premiums paid for commercial auto liability, general liability, cargo and other lines of coverage related to the transportation of freight; (ii) the related cost of claims incurred under those programs; and (iii) brokerage commissions and other fees incurred relating to the administration of insurance programs available to BCO Independent Contractors that are reinsured by the Company, which are included in selling, general and administrative in the Company’s Consolidated Statements of Income.</w:t>
      </w:r>
    </w:p>
    <w:p>
      <w:pPr>
        <w:sectPr>
          <w:pgSz w:w="11900" w:h="16838" w:orient="portrait"/>
          <w:cols w:equalWidth="0" w:num="1">
            <w:col w:w="9019"/>
          </w:cols>
          <w:pgMar w:left="1440" w:top="229" w:right="1440" w:bottom="1440" w:gutter="0" w:footer="0" w:header="0"/>
        </w:sectPr>
      </w:pPr>
    </w:p>
    <w:bookmarkStart w:id="12" w:name="page13"/>
    <w:bookmarkEnd w:id="12"/>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44"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2026-10-27T15:29:11Z</dcterms:created>
  <dcterms:modified xsi:type="dcterms:W3CDTF">2026-10-27T15:29:11Z</dcterms:modified>
</cp:coreProperties>
</file>