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2026</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 to _________</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431165</wp:posOffset>
            </wp:positionV>
            <wp:extent cx="1062990" cy="117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LANDSTAR SYSTEM,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06-1313069</w:t>
      </w:r>
    </w:p>
    <w:p>
      <w:pPr>
        <w:spacing w:after="0" w:line="12" w:lineRule="exact"/>
        <w:rPr>
          <w:sz w:val="24"/>
          <w:szCs w:val="24"/>
          <w:color w:val="auto"/>
        </w:rPr>
      </w:pPr>
    </w:p>
    <w:p>
      <w:pPr>
        <w:sectPr>
          <w:pgSz w:w="11900" w:h="16838" w:orient="portrait"/>
          <w:cols w:equalWidth="0" w:num="2">
            <w:col w:w="7300" w:space="720"/>
            <w:col w:w="3120"/>
          </w:cols>
          <w:pgMar w:left="320" w:top="225" w:right="439" w:bottom="0" w:gutter="0" w:footer="0" w:header="0"/>
          <w:type w:val="continuous"/>
        </w:sect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25" w:right="439" w:bottom="0" w:gutter="0" w:footer="0" w:header="0"/>
          <w:type w:val="continuous"/>
        </w:sectPr>
      </w:pP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13410 Sutton Park Drive South, Jacksonville, Florida</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32224</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(904) 398-9400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140"/>
          </w:cols>
          <w:pgMar w:left="320" w:top="225" w:right="439" w:bottom="0" w:gutter="0" w:footer="0" w:header="0"/>
          <w:type w:val="continuous"/>
        </w:sectPr>
      </w:pP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LSTR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1934 during the preceding 12 months (or for such shorter period that the registrant was required to file such reports), and (2) has been subject to such filing requirements for the past 90 days:</w:t>
      </w:r>
    </w:p>
    <w:p>
      <w:pPr>
        <w:spacing w:after="0" w:line="141" w:lineRule="exact"/>
        <w:rPr>
          <w:sz w:val="24"/>
          <w:szCs w:val="24"/>
          <w:color w:val="auto"/>
        </w:rPr>
      </w:pPr>
    </w:p>
    <w:p>
      <w:pPr>
        <w:ind w:left="50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25" w:right="439" w:bottom="0" w:gutter="0" w:footer="0" w:header="0"/>
          <w:type w:val="continuous"/>
        </w:sectPr>
      </w:pPr>
    </w:p>
    <w:bookmarkStart w:id="1" w:name="page2"/>
    <w:bookmarkEnd w:id="1"/>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5" w:lineRule="exact"/>
        <w:rPr>
          <w:sz w:val="20"/>
          <w:szCs w:val="20"/>
          <w:color w:val="auto"/>
        </w:rPr>
      </w:pPr>
    </w:p>
    <w:p>
      <w:pPr>
        <w:jc w:val="center"/>
        <w:ind w:right="-43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0"/>
          <w:szCs w:val="20"/>
          <w:color w:val="auto"/>
        </w:rPr>
      </w:pPr>
    </w:p>
    <w:p>
      <w:pPr>
        <w:jc w:val="center"/>
        <w:ind w:right="-43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par value $0.01 per share, outstanding as of the close of business on October 19, 2026 was 33,708,943.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7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gridSpan w:val="13"/>
          </w:tcPr>
          <w:p>
            <w:pPr>
              <w:jc w:val="center"/>
              <w:ind w:right="3120"/>
              <w:spacing w:after="0"/>
              <w:rPr>
                <w:sz w:val="20"/>
                <w:szCs w:val="20"/>
                <w:color w:val="auto"/>
              </w:rPr>
            </w:pPr>
            <w:r>
              <w:rPr>
                <w:rFonts w:ascii="Times New Roman" w:cs="Times New Roman" w:eastAsia="Times New Roman" w:hAnsi="Times New Roman"/>
                <w:sz w:val="18"/>
                <w:szCs w:val="18"/>
                <w:b w:val="1"/>
                <w:bCs w:val="1"/>
                <w:color w:val="0000EE"/>
                <w:w w:val="99"/>
              </w:rPr>
              <w:t xml:space="preserve">PART I </w:t>
            </w:r>
            <w:r>
              <w:rPr>
                <w:rFonts w:ascii="Times New Roman" w:cs="Times New Roman" w:eastAsia="Times New Roman" w:hAnsi="Times New Roman"/>
                <w:sz w:val="18"/>
                <w:szCs w:val="18"/>
                <w:color w:val="0000EE"/>
                <w:w w:val="99"/>
              </w:rPr>
              <w:t>– Financial Information</w:t>
            </w:r>
          </w:p>
        </w:tc>
        <w:tc>
          <w:tcPr>
            <w:tcW w:w="36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29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 xml:space="preserve">Item 1. </w:t>
            </w:r>
            <w:r>
              <w:rPr>
                <w:rFonts w:ascii="Times New Roman" w:cs="Times New Roman" w:eastAsia="Times New Roman" w:hAnsi="Times New Roman"/>
                <w:sz w:val="18"/>
                <w:szCs w:val="18"/>
                <w:color w:val="0000EE"/>
                <w:w w:val="99"/>
              </w:rPr>
              <w:t>Financial Statements (unaudited)</w:t>
            </w:r>
          </w:p>
        </w:tc>
        <w:tc>
          <w:tcPr>
            <w:tcW w:w="1180" w:type="dxa"/>
            <w:vAlign w:val="bottom"/>
            <w:gridSpan w:val="2"/>
          </w:tcPr>
          <w:p>
            <w:pPr>
              <w:spacing w:after="0"/>
              <w:rPr>
                <w:sz w:val="24"/>
                <w:szCs w:val="24"/>
                <w:color w:val="auto"/>
              </w:rPr>
            </w:pPr>
          </w:p>
        </w:tc>
        <w:tc>
          <w:tcPr>
            <w:tcW w:w="2340" w:type="dxa"/>
            <w:vAlign w:val="bottom"/>
            <w:tcBorders>
              <w:top w:val="single" w:sz="8" w:color="0000EE"/>
            </w:tcBorders>
            <w:gridSpan w:val="6"/>
          </w:tcPr>
          <w:p>
            <w:pPr>
              <w:spacing w:after="0"/>
              <w:rPr>
                <w:sz w:val="24"/>
                <w:szCs w:val="24"/>
                <w:color w:val="auto"/>
              </w:rPr>
            </w:pPr>
          </w:p>
        </w:tc>
        <w:tc>
          <w:tcPr>
            <w:tcW w:w="412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Sheets as of September 26, 2026 and December 27,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2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for the Thirty-Nine and Thirteen Weeks Ended September 26, 2026 and September 27, 2025</w:t>
            </w:r>
          </w:p>
        </w:tc>
        <w:tc>
          <w:tcPr>
            <w:tcW w:w="13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Thirty-Nine and Thirteen Weeks Ended September 26, 2026 and September 27,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20" w:type="dxa"/>
            <w:vAlign w:val="bottom"/>
          </w:tcPr>
          <w:p>
            <w:pPr>
              <w:spacing w:after="0"/>
              <w:rPr>
                <w:sz w:val="24"/>
                <w:szCs w:val="24"/>
                <w:color w:val="auto"/>
              </w:rPr>
            </w:pPr>
          </w:p>
        </w:tc>
        <w:tc>
          <w:tcPr>
            <w:tcW w:w="860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Thirty-Nine Weeks Ended September 26, 2026 and September 27, 2025</w:t>
            </w:r>
          </w:p>
        </w:tc>
        <w:tc>
          <w:tcPr>
            <w:tcW w:w="1820" w:type="dxa"/>
            <w:vAlign w:val="bottom"/>
            <w:tcBorders>
              <w:top w:val="single" w:sz="8" w:color="0000EE"/>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20" w:type="dxa"/>
            <w:vAlign w:val="bottom"/>
          </w:tcPr>
          <w:p>
            <w:pPr>
              <w:spacing w:after="0"/>
              <w:rPr>
                <w:sz w:val="24"/>
                <w:szCs w:val="24"/>
                <w:color w:val="auto"/>
              </w:rPr>
            </w:pPr>
          </w:p>
        </w:tc>
        <w:tc>
          <w:tcPr>
            <w:tcW w:w="96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Thirty-Nine and Thirteen Weeks Ended September 26, 2026 and</w:t>
            </w:r>
          </w:p>
        </w:tc>
        <w:tc>
          <w:tcPr>
            <w:tcW w:w="10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September 27,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 xml:space="preserve">Item 2. </w:t>
            </w: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56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20" w:type="dxa"/>
            <w:vAlign w:val="bottom"/>
          </w:tcPr>
          <w:p>
            <w:pPr>
              <w:spacing w:after="0"/>
              <w:rPr>
                <w:sz w:val="24"/>
                <w:szCs w:val="24"/>
                <w:color w:val="auto"/>
              </w:rPr>
            </w:pPr>
          </w:p>
        </w:tc>
        <w:tc>
          <w:tcPr>
            <w:tcW w:w="4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9"/>
              </w:rPr>
              <w:t xml:space="preserve">Item 3. </w:t>
            </w:r>
            <w:r>
              <w:rPr>
                <w:rFonts w:ascii="Times New Roman" w:cs="Times New Roman" w:eastAsia="Times New Roman" w:hAnsi="Times New Roman"/>
                <w:sz w:val="18"/>
                <w:szCs w:val="18"/>
                <w:color w:val="0000EE"/>
                <w:w w:val="99"/>
              </w:rPr>
              <w:t>Quantitative and Qualitative Disclosures About Market Risk</w:t>
            </w:r>
          </w:p>
        </w:tc>
        <w:tc>
          <w:tcPr>
            <w:tcW w:w="566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Item 4</w:t>
            </w:r>
            <w:r>
              <w:rPr>
                <w:rFonts w:ascii="Times New Roman" w:cs="Times New Roman" w:eastAsia="Times New Roman" w:hAnsi="Times New Roman"/>
                <w:sz w:val="18"/>
                <w:szCs w:val="18"/>
                <w:color w:val="0000EE"/>
              </w:rPr>
              <w:t>. 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 xml:space="preserve">PART II – </w:t>
            </w:r>
            <w:r>
              <w:rPr>
                <w:rFonts w:ascii="Times New Roman" w:cs="Times New Roman" w:eastAsia="Times New Roman" w:hAnsi="Times New Roman"/>
                <w:sz w:val="18"/>
                <w:szCs w:val="18"/>
                <w:color w:val="0000EE"/>
                <w:w w:val="99"/>
              </w:rPr>
              <w:t>Other Information</w:t>
            </w:r>
          </w:p>
        </w:tc>
        <w:tc>
          <w:tcPr>
            <w:tcW w:w="422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1. </w:t>
            </w:r>
            <w:r>
              <w:rPr>
                <w:rFonts w:ascii="Times New Roman" w:cs="Times New Roman" w:eastAsia="Times New Roman" w:hAnsi="Times New Roman"/>
                <w:sz w:val="18"/>
                <w:szCs w:val="18"/>
                <w:color w:val="0000EE"/>
                <w:w w:val="98"/>
              </w:rPr>
              <w:t>Legal Proceedings</w:t>
            </w:r>
          </w:p>
        </w:tc>
        <w:tc>
          <w:tcPr>
            <w:tcW w:w="868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120" w:type="dxa"/>
            <w:vAlign w:val="bottom"/>
          </w:tcPr>
          <w:p>
            <w:pPr>
              <w:spacing w:after="0"/>
              <w:rPr>
                <w:sz w:val="24"/>
                <w:szCs w:val="24"/>
                <w:color w:val="auto"/>
              </w:rPr>
            </w:pPr>
          </w:p>
        </w:tc>
        <w:tc>
          <w:tcPr>
            <w:tcW w:w="1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1A. </w:t>
            </w:r>
            <w:r>
              <w:rPr>
                <w:rFonts w:ascii="Times New Roman" w:cs="Times New Roman" w:eastAsia="Times New Roman" w:hAnsi="Times New Roman"/>
                <w:sz w:val="18"/>
                <w:szCs w:val="18"/>
                <w:color w:val="0000EE"/>
                <w:w w:val="98"/>
              </w:rPr>
              <w:t>Risk Factors</w:t>
            </w:r>
          </w:p>
        </w:tc>
        <w:tc>
          <w:tcPr>
            <w:tcW w:w="898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1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5. </w:t>
            </w:r>
            <w:r>
              <w:rPr>
                <w:rFonts w:ascii="Times New Roman" w:cs="Times New Roman" w:eastAsia="Times New Roman" w:hAnsi="Times New Roman"/>
                <w:sz w:val="18"/>
                <w:szCs w:val="18"/>
                <w:color w:val="0000EE"/>
                <w:w w:val="98"/>
              </w:rPr>
              <w:t>Other Information</w:t>
            </w:r>
          </w:p>
        </w:tc>
        <w:tc>
          <w:tcPr>
            <w:tcW w:w="3020" w:type="dxa"/>
            <w:vAlign w:val="bottom"/>
            <w:tcBorders>
              <w:top w:val="single" w:sz="8" w:color="0000EE"/>
            </w:tcBorders>
            <w:gridSpan w:val="7"/>
          </w:tcPr>
          <w:p>
            <w:pPr>
              <w:spacing w:after="0"/>
              <w:rPr>
                <w:sz w:val="24"/>
                <w:szCs w:val="24"/>
                <w:color w:val="auto"/>
              </w:rPr>
            </w:pPr>
          </w:p>
        </w:tc>
        <w:tc>
          <w:tcPr>
            <w:tcW w:w="568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 xml:space="preserve">Item 6. </w:t>
            </w:r>
            <w:r>
              <w:rPr>
                <w:rFonts w:ascii="Times New Roman" w:cs="Times New Roman" w:eastAsia="Times New Roman" w:hAnsi="Times New Roman"/>
                <w:sz w:val="18"/>
                <w:szCs w:val="18"/>
                <w:color w:val="0000EE"/>
              </w:rPr>
              <w:t>Exhibits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120" w:type="dxa"/>
            <w:vAlign w:val="bottom"/>
          </w:tcPr>
          <w:p>
            <w:pPr>
              <w:spacing w:after="0"/>
              <w:rPr>
                <w:sz w:val="24"/>
                <w:szCs w:val="24"/>
                <w:color w:val="auto"/>
              </w:rPr>
            </w:pPr>
          </w:p>
        </w:tc>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420" w:type="dxa"/>
            <w:vAlign w:val="bottom"/>
            <w:tcBorders>
              <w:top w:val="single" w:sz="8" w:color="0000EE"/>
            </w:tcBorders>
          </w:tcPr>
          <w:p>
            <w:pPr>
              <w:spacing w:after="0"/>
              <w:rPr>
                <w:sz w:val="24"/>
                <w:szCs w:val="24"/>
                <w:color w:val="auto"/>
              </w:rPr>
            </w:pPr>
          </w:p>
        </w:tc>
        <w:tc>
          <w:tcPr>
            <w:tcW w:w="9420" w:type="dxa"/>
            <w:vAlign w:val="bottom"/>
            <w:gridSpan w:val="21"/>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45"/>
        </w:trPr>
        <w:tc>
          <w:tcPr>
            <w:tcW w:w="1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 – 31.1 Section 302 CEO Certification</w:t>
            </w:r>
          </w:p>
        </w:tc>
        <w:tc>
          <w:tcPr>
            <w:tcW w:w="360" w:type="dxa"/>
            <w:vAlign w:val="bottom"/>
          </w:tcPr>
          <w:p>
            <w:pPr>
              <w:spacing w:after="0"/>
              <w:rPr>
                <w:sz w:val="24"/>
                <w:szCs w:val="24"/>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 – 31.2 Section 302 CFO Certification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 – 32.1 Section 906 CEO Certification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 – 32.2 Section 906 CFO Certification</w:t>
      </w: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73"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xml:space="preserve">PART I - </w:t>
      </w:r>
      <w:r>
        <w:rPr>
          <w:rFonts w:ascii="Times New Roman" w:cs="Times New Roman" w:eastAsia="Times New Roman" w:hAnsi="Times New Roman"/>
          <w:sz w:val="18"/>
          <w:szCs w:val="18"/>
          <w:color w:val="auto"/>
        </w:rPr>
        <w:t>FINANCIAL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interim consolidated financial statements contained herein reflect all adjustments (all of a normal, recurring nature) which, in the opinion of management, are necessary for a fair statement of the financial condition, results of operations, cash flows and changes in shareholders’ equity for the periods presented. They have been prepared in accordance with Rule 10-01 of Regulation S-X and do not include all the information and footnotes required by generally accepted accounting principles for complete financial statements. Operating results for the thirty-nine weeks ended September 26, 2026 are not necessarily indicative of the results that may be expected for the entire fiscal year ending December 26, 2026.</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audited consolidated financial statements and notes thereto included in the Company’s 2025 Annual Report on Form 10-K.</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8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8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ind w:left="398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297,321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396,694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55,531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 less allowance of $8,090 and $12,490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670,137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including advances to independent contractors, less allowance of $15,314 and $18,759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52,784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28,949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1,216,326</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 of $494,295 and $473,642</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34,005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124,282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1,635,935</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overdraft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68,713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56,654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482,041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369,567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claims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87,343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68,117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78,856</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695,840</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33,244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 authorized 160,000,000 shares, issued 68,636,098 and 68,590,708 shares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269,696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261,256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2,852,680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34,927,155 and 34,531,982 shares of common stock in treasury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(2,378,302)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(2,313,245)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795,665</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1,807,715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00" w:type="dxa"/>
            <w:vAlign w:val="bottom"/>
          </w:tcPr>
          <w:p>
            <w:pPr>
              <w:spacing w:after="0"/>
              <w:rPr>
                <w:sz w:val="15"/>
                <w:szCs w:val="15"/>
                <w:color w:val="auto"/>
              </w:rPr>
            </w:pPr>
          </w:p>
        </w:tc>
        <w:tc>
          <w:tcPr>
            <w:tcW w:w="2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8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3,569,291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3,212,442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2,775,761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936,472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to agents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291,529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117,676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98,693</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46,996</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and claims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103,309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33,008</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191,534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174,303</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57,015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and other assets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30,104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3,457,886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1,448,511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1,182,373</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basic and diluted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33,943,000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34,885,000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33,871,000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34,581,000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20" w:type="dxa"/>
            <w:vAlign w:val="bottom"/>
          </w:tcPr>
          <w:p>
            <w:pPr>
              <w:spacing w:after="0"/>
              <w:rPr>
                <w:sz w:val="10"/>
                <w:szCs w:val="10"/>
                <w:color w:val="auto"/>
              </w:rPr>
            </w:pPr>
          </w:p>
        </w:tc>
      </w:tr>
      <w:tr>
        <w:trPr>
          <w:trHeight w:val="173"/>
        </w:trPr>
        <w:tc>
          <w:tcPr>
            <w:tcW w:w="6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136,434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60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holding (losses) gains on available-for-sale investments, net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tax (benefit) expense of ($613), $570, ($429) and $146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(1,566)</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133,043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46,597</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1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8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20" w:type="dxa"/>
            <w:vAlign w:val="bottom"/>
          </w:tcPr>
          <w:p>
            <w:pPr>
              <w:spacing w:after="0"/>
              <w:rPr>
                <w:sz w:val="10"/>
                <w:szCs w:val="10"/>
                <w:color w:val="auto"/>
              </w:rPr>
            </w:pPr>
          </w:p>
        </w:tc>
      </w:tr>
      <w:tr>
        <w:trPr>
          <w:trHeight w:val="173"/>
        </w:trPr>
        <w:tc>
          <w:tcPr>
            <w:tcW w:w="8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136,434</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91,063</w:t>
            </w:r>
          </w:p>
        </w:tc>
      </w:tr>
      <w:tr>
        <w:trPr>
          <w:trHeight w:val="216"/>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35,884</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charges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Provisions for losses on trade and other accounts receivable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13,305</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Gains on sales/disposals of operating property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intangible and other assets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30,104</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5,243</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in trade and other accounts receivable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(252,372)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(34,724)</w:t>
            </w:r>
          </w:p>
        </w:tc>
      </w:tr>
      <w:tr>
        <w:trPr>
          <w:trHeight w:val="216"/>
        </w:trPr>
        <w:tc>
          <w:tcPr>
            <w:tcW w:w="82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other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(27,455)</w:t>
            </w:r>
          </w:p>
        </w:tc>
      </w:tr>
      <w:tr>
        <w:trPr>
          <w:trHeight w:val="216"/>
        </w:trPr>
        <w:tc>
          <w:tcPr>
            <w:tcW w:w="8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112,474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19,128</w:t>
            </w:r>
          </w:p>
        </w:tc>
      </w:tr>
      <w:tr>
        <w:trPr>
          <w:trHeight w:val="216"/>
        </w:trPr>
        <w:tc>
          <w:tcPr>
            <w:tcW w:w="82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7,099</w:t>
            </w:r>
          </w:p>
        </w:tc>
      </w:tr>
      <w:tr>
        <w:trPr>
          <w:trHeight w:val="216"/>
        </w:trPr>
        <w:tc>
          <w:tcPr>
            <w:tcW w:w="82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in insurance claims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8,103</w:t>
            </w:r>
          </w:p>
        </w:tc>
      </w:tr>
      <w:tr>
        <w:trPr>
          <w:trHeight w:val="27"/>
        </w:trPr>
        <w:tc>
          <w:tcPr>
            <w:tcW w:w="8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98,719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152,169</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130,585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120,693</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(133,969)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(119,097)</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operating property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(7,673)</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sales of operating property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6,398</w:t>
            </w:r>
          </w:p>
        </w:tc>
      </w:tr>
      <w:tr>
        <w:trPr>
          <w:trHeight w:val="27"/>
        </w:trPr>
        <w:tc>
          <w:tcPr>
            <w:tcW w:w="8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PROVIDED BY INVESTING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(decrease) in cash overdraft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(13,041)</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(110,212)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(111,097)</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Payment for debt issue costs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Taxes paid in lieu of shares issued related to stock-based compensation plans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(65,178)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(143,230)</w:t>
            </w:r>
          </w:p>
        </w:tc>
      </w:tr>
      <w:tr>
        <w:trPr>
          <w:trHeight w:val="216"/>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(25,176)</w:t>
            </w:r>
          </w:p>
        </w:tc>
      </w:tr>
      <w:tr>
        <w:trPr>
          <w:trHeight w:val="27"/>
        </w:trPr>
        <w:tc>
          <w:tcPr>
            <w:tcW w:w="8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(188,196)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(293,477)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Pr>
          <w:p>
            <w:pPr>
              <w:spacing w:after="0"/>
              <w:rPr>
                <w:sz w:val="20"/>
                <w:szCs w:val="20"/>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 including cash and cash equivalents classified as assets held for sale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(139,029)</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Plus: Net change in cash and cash equivalents classified as assets held for sale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(798)</w:t>
            </w:r>
          </w:p>
        </w:tc>
      </w:tr>
      <w:tr>
        <w:trPr>
          <w:trHeight w:val="27"/>
        </w:trPr>
        <w:tc>
          <w:tcPr>
            <w:tcW w:w="8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(99,373)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(139,827)</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396,694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515,018</w:t>
            </w:r>
          </w:p>
        </w:tc>
      </w:tr>
      <w:tr>
        <w:trPr>
          <w:trHeight w:val="27"/>
        </w:trPr>
        <w:tc>
          <w:tcPr>
            <w:tcW w:w="8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297,321</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375,191</w:t>
            </w:r>
          </w:p>
        </w:tc>
      </w:tr>
      <w:tr>
        <w:trPr>
          <w:trHeight w:val="20"/>
        </w:trPr>
        <w:tc>
          <w:tcPr>
            <w:tcW w:w="8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Thirty-Nine and Thirteen Weeks Ended September 26, 2026 and September 27,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80" w:type="dxa"/>
            <w:vAlign w:val="bottom"/>
            <w:gridSpan w:val="5"/>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2"/>
            <w:vMerge w:val="continue"/>
          </w:tcPr>
          <w:p>
            <w:pPr>
              <w:spacing w:after="0"/>
              <w:rPr>
                <w:sz w:val="15"/>
                <w:szCs w:val="15"/>
                <w:color w:val="auto"/>
              </w:rPr>
            </w:pPr>
          </w:p>
        </w:tc>
        <w:tc>
          <w:tcPr>
            <w:tcW w:w="2080" w:type="dxa"/>
            <w:vAlign w:val="bottom"/>
            <w:gridSpan w:val="5"/>
            <w:vMerge w:val="continue"/>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68,590,708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$261,256</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$2,852,680</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34,531,982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$(2,313,245)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$795,665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39,440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39,440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($0.40 per share)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(13,614)</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(13,614)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150,923</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(22,587)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8,125</w:t>
            </w:r>
          </w:p>
        </w:tc>
        <w:tc>
          <w:tcPr>
            <w:tcW w:w="11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2,487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28,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68,619,240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263,740</w:t>
            </w: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2,878,506</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34,691,030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(2,336,869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798,976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48,951</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48,951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Dividends ($0.40 per share)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(13,567)</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(13,567)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3,219</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2,933</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27, 2026</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68,631,174</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686</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266,673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2,913,890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34,694,249</w:t>
            </w:r>
          </w:p>
        </w:tc>
        <w:tc>
          <w:tcPr>
            <w:tcW w:w="11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(2,336,862)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(7,657)</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836,730</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48,043</w:t>
            </w: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($0.44 per share)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(14,914)</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(14,914)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232,645</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(41,440)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(41,440)</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3,023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(1,446)</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26,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68,636,098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269,696</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2,947,019</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34,927,155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(2,378,302</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829,996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80" w:type="dxa"/>
            <w:vAlign w:val="bottom"/>
            <w:gridSpan w:val="5"/>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00" w:type="dxa"/>
            <w:vAlign w:val="bottom"/>
          </w:tcPr>
          <w:p>
            <w:pPr>
              <w:spacing w:after="0"/>
              <w:rPr>
                <w:sz w:val="12"/>
                <w:szCs w:val="12"/>
                <w:color w:val="auto"/>
              </w:rPr>
            </w:pPr>
          </w:p>
        </w:tc>
        <w:tc>
          <w:tcPr>
            <w:tcW w:w="90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2"/>
            <w:vMerge w:val="continue"/>
          </w:tcPr>
          <w:p>
            <w:pPr>
              <w:spacing w:after="0"/>
              <w:rPr>
                <w:sz w:val="15"/>
                <w:szCs w:val="15"/>
                <w:color w:val="auto"/>
              </w:rPr>
            </w:pPr>
          </w:p>
        </w:tc>
        <w:tc>
          <w:tcPr>
            <w:tcW w:w="2080" w:type="dxa"/>
            <w:vAlign w:val="bottom"/>
            <w:gridSpan w:val="5"/>
            <w:vMerge w:val="continue"/>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3"/>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68,559,269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$2,859,916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33,243,196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$(2,131,413)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$972,439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29,806</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29,806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($0.36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(12,688)</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(12,688)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386,318</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(60,945)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(60,945)</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6,081</w:t>
            </w:r>
          </w:p>
        </w:tc>
        <w:tc>
          <w:tcPr>
            <w:tcW w:w="11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2,038</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1,014</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29,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68,581,772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257,296</w:t>
            </w: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2,877,034</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33,635,595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(2,193,265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930,755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41,893</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41,893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Dividends ($0.40 per share)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(13,916)</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300,141</w:t>
            </w:r>
          </w:p>
        </w:tc>
        <w:tc>
          <w:tcPr>
            <w:tcW w:w="11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(42,350)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(42,350)</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3,832</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28, 2025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68,589,418</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686</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258,915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2,905,011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33,935,882</w:t>
            </w:r>
          </w:p>
        </w:tc>
        <w:tc>
          <w:tcPr>
            <w:tcW w:w="11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(2,235,622)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(7,164)</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921,826</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($0.40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(13,861)</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(13,861)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308,709</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(40,613)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(40,613)</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1,586</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419</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27,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68,589,418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260,501</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2,910,514</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34,244,716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(2,276,252</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888,704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Landstar System, Inc. and its subsidiary, Landstar System Holdings, Inc., and reflect all adjustments (all of a normal, recurring nature) which are, in the opinion of management, necessary for a fair statement of the results for the periods presented. The preparation of the consolidated financial statements requires the use of management’s estimates. Actual results could differ from those estimates. Landstar System, Inc. and its subsidiary are herein referred to as “Landstar” or the “Company.” Significant intercompany accounts have been eliminated in consolidation.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audited consolidated financial statements and notes thereto included in the Company’s 2025 Annual Report on Form 10-K.</w:t>
      </w:r>
    </w:p>
    <w:p>
      <w:pPr>
        <w:spacing w:after="0" w:line="306"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 Disaggregation of Revenue</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thirty-nine-week and thirteen-week periods ended September 26, 2026 and September 27, 2025 (dollars in thousands):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3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Mode</w:t>
            </w:r>
          </w:p>
        </w:tc>
        <w:tc>
          <w:tcPr>
            <w:tcW w:w="94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74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Truck – BCO Independent Contractors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 Truck Brokerage Carriers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 intermodal</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Truck Equipment Type</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Van equipment</w:t>
            </w:r>
          </w:p>
        </w:tc>
        <w:tc>
          <w:tcPr>
            <w:tcW w:w="20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2,080,868</w:t>
            </w:r>
          </w:p>
        </w:tc>
        <w:tc>
          <w:tcPr>
            <w:tcW w:w="340" w:type="dxa"/>
            <w:vAlign w:val="bottom"/>
            <w:tcBorders>
              <w:top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1,769,440</w:t>
            </w:r>
          </w:p>
        </w:tc>
        <w:tc>
          <w:tcPr>
            <w:tcW w:w="4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759,949</w:t>
            </w:r>
          </w:p>
        </w:tc>
        <w:tc>
          <w:tcPr>
            <w:tcW w:w="4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0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1,379,319</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1,127,276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518,582</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Less-than-truckload</w:t>
            </w:r>
          </w:p>
        </w:tc>
        <w:tc>
          <w:tcPr>
            <w:tcW w:w="10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73,845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72,229</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24,933</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10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289,298</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288,807</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103,707</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6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Arrangements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of September 26, 2026, the Company has an employee equity incentive plan, the 2011 equity incentive plan (the “2011 EIP”). The Company also has a stock compensation plan for members of its Board of Directors, the 2022 Directors Stock Compensation Plan (the “2022 DSCP”). 6,000,000 shares of the Company’s common stock were authorized for issuance under the 2011 EIP and 200,000 shares of the Company’s common stock were authorized for issuance under the 2022 DSCP. The 2011 EIP and 2022 DSCP are each referred to herein as a “Plan,” and, collectively, as the “Plans.” Amounts recognized in the financial statements with respect to these Plans are as follows (in thousands):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22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7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5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00" w:type="dxa"/>
            <w:vAlign w:val="bottom"/>
          </w:tcPr>
          <w:p>
            <w:pPr>
              <w:spacing w:after="0"/>
              <w:rPr>
                <w:sz w:val="10"/>
                <w:szCs w:val="10"/>
                <w:color w:val="auto"/>
              </w:rPr>
            </w:pPr>
          </w:p>
        </w:tc>
      </w:tr>
      <w:tr>
        <w:trPr>
          <w:trHeight w:val="173"/>
        </w:trPr>
        <w:tc>
          <w:tcPr>
            <w:tcW w:w="4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the Plans during the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8"/>
                <w:szCs w:val="18"/>
                <w:color w:val="auto"/>
              </w:rPr>
            </w:pP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of related income tax benefit recognized during</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period</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(2,082)</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4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cost of the Plans during the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4,064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Included in income tax benefits recognized in the thirty-nine-week periods ended September 26, 2026 and September 27, 2025 were (excess tax benefits) tax deficiencies from stock-based awards of ($14,000) and $106,000, respectively.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September 26, 2026, there were 161,928 shares of the Company’s common stock reserved for issuance under the 2022 DSCP and 2,589,785 shares of the Company’s common stock reserved for issuance under the 2011 EIP.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restricted stock unit (“RSU”) awards with either a performance condition or a market condition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27,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203,712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65,401</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134.55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(45,208)</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154.76</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26, 2026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139.02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thirty-nine-week period ended September 26, 2026, the Company granted RSUs with a performance condition and RSUs with a market condition, as further described below. Outstanding RSUs at both December 27, 2025 and September 26, 2026 include RSUs with a performance condition and RSUs with a market condition, as further described below and in the Company’s 2025 Annual Report on Form 10-K.</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RSUs with a performance condition granted during the thirty-nine-week period ended September 26, 2026 may vest on January 31 of 2029, 2030 and 2031 based on growth in diluted earnings per share as compared to the results from the 2025 fiscal year, adjusted to reflect the add back of (i) the charge taken by the Company in the 2025 first quarter in connection with a supply chain fraud relating to the Company’s international freight forwarding operations; and (ii) impairment charges recorded in the Company’s 2025 fiscal year related to: the decision to actively market for sale Landstar Metro, S.A.P.I. de C.V., the Company’s wholly-owned Mexican operating subsidiary; the decision to wind down the Landstar Blue TMS; and a non-controlling equity investment made by the Company in Cavnue, LLC, a privately held technology start-up company.</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30, 2026, the Company granted 6,715 RSUs that vest based on a market condition. These RSUs may vest based on the achievement of a specific total shareholder return (“TSR”) compound annual growth rate, adjusted to reflect dividends (if any) paid during such periods and capital adjustments as may be necessary, and are eligible to vest annually starting after the sixth anniversary of the grant date and concluding after the tenth anniversary of the grant date. The fair value of this RSU award was determined at the time of grant based on the expected achievement of the market condition. With respect to these RSU awards, the Company reports compensation expense ratably over the service period of the award based on the number of units granted multiplied by the grant date fair value of the RSU. Previously recognized compensation cost would be reversed only if the employee did not complete the requisite service period due to termination of employment.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$4,858,000 and $1,586,000 of share-based compensation expense related to RSU awards in the thirty-nine-week periods ended September 26, 2026 and September 27, 2025, respectively. As of September 26, 2026, there was a maximum of $46.4 million of total unrecognized compensation cost related to RSU awards granted under the Plans with an expected average remaining life of approximately 2.9 years. With respect to RSU awards with a performance condition, the amount of future compensation expense to be recognized will be determined based on future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Non-vested Restricted Stock and Deferred Stock Units</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shares of non-vested restricted stock and Deferred Stock Units (defined below)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528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 Deferred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280" w:type="dxa"/>
            <w:vAlign w:val="bottom"/>
          </w:tcPr>
          <w:p>
            <w:pPr>
              <w:spacing w:after="0"/>
              <w:rPr>
                <w:sz w:val="15"/>
                <w:szCs w:val="15"/>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27,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41,059</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157.79</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(31,570)</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167.44</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(4,615)</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164.59</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26,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162.29</w:t>
            </w:r>
          </w:p>
        </w:tc>
      </w:tr>
      <w:tr>
        <w:trPr>
          <w:trHeight w:val="20"/>
        </w:trPr>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the grant or the third, fourth and fifth anniversary of the date of the grant, in two equal annual installments on the first and second anniversary of the date of the grant or 100% on the first or third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the recipient’s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9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September 26, 2026, there was $6,683,000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1.8 years.</w:t>
      </w:r>
    </w:p>
    <w:p>
      <w:pPr>
        <w:spacing w:after="0" w:line="320"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provisions for income taxes for the 2026 and 2025 thirty-nine-week periods were based on estimated annual effective income tax rates of 25.4% and 24.6%, respectively, adjusted for discrete events, such as excess tax benefits or deficiencies resulting from stock-based awards. The effective income tax rate for the 2026 thirty-nine-week period was 25.6%. The effective income tax rate was higher than the statutory federal income tax rate of 21% in the 2026 period primarily attributable to state taxes. The effective income tax rate for the 2025 thirty-nine-week period was 24.9%. The effective income tax rate was higher than the statutory federal income tax rate of 21% in the 2025 period primarily attributable to state taxes.</w:t>
      </w:r>
    </w:p>
    <w:p>
      <w:pPr>
        <w:spacing w:after="0" w:line="328"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Basic earnings per common share are based on the weighted average number of shares outstanding, which includes outstanding non-vested restricted stock and outstanding Deferred Stock Units. Diluted earnings per share are based on the weighted average number of common shares outstanding plus the dilutive effect of outstanding stock awards, if applicable. Outstanding RSUs were excluded from the calculation of diluted earnings per share for all periods because the performance metric requirements or market condition for vesting had not been satisfied. Accordingly, the Company had no reconciling items between the average number of common shares outstanding used to calculate basic earnings per common share and the average number of common shares and common share equivalents outstanding used to calculate diluted earnings per share during each of the 2026 and 2025 thirty-nine-week periods.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Cash Flow Information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During the thirty-nine-week period ended September 26, 2026, Landstar paid income taxes and interest of $29,409,000 and $3,583,000, respectively. During the thirty-nine-week period ended September 27, 2025, Landstar paid income taxes and interest of $45,646,000 and $4,107,000, respectively. Landstar acquired operating property by entering into finance leases in the amount of $28,608,000 in the thirty-nine-week period ended September 26, 2026. Landstar did not acquire any operating property by entering into finance leases in the thirty-nine-week period ended September 27, 2025. During the thirty-nine-week period ended September 26, 2026, the Company purchased its common stock at a total cost of $64,003,000, including $63,416,000 in cash purchases and accrued excise tax of $587,000, which is included in other current liabilities in the consolidated balance sheet at September 26, 2026. The Company also paid $1,762,000 in excise tax on its common stock purchases, which was included in other current liabilities in the consolidated balance sheet at December 27, 2025. During the thirty-nine-week period ended September 27, 2025, the Company purchased its common stock at a total cost of $143,908,000, including $142,512,000 in cash purchases and accrued excise tax of $1,396,000, which was included in other current liabilities in the consolidated balance sheet at September 27, 2025.</w:t>
      </w:r>
    </w:p>
    <w:p>
      <w:pPr>
        <w:spacing w:after="0" w:line="339"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reports the results of two operating segments: the transportation logistics segment and the insurance segment. The Company’s chief operating decision maker (“CODM”) is our Chief Executive Officer. The CODM evaluates each segment’s performance and makes decisions about resource allocations primarily based on operating income, which is the principal financial metric utilized to monitor budgeted versus actual results by segment of the Company. Asset information by segment is not typically provided to the CODM for purposes of evaluating performance or allocating resources, and therefore such information has not been presented.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information about the Company’s reportable business segments as of and for the thirty-nine-week and thirteen-week periods ended September 26, 2026 and September 27, 2025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5"/>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0"/>
                <w:szCs w:val="10"/>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4,071,824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$ 4,115,342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3,525,234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$3,569,291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4,071,824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106,571</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4,178,395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3,525,234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108,167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3,633,401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7,943</w:t>
            </w: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10,620</w:t>
            </w:r>
          </w:p>
        </w:tc>
        <w:tc>
          <w:tcPr>
            <w:tcW w:w="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transportation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3,212,442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3,212,442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2,775,761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2,775,761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Commissions to agents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319,254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319,254</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291,529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291,529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53,971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46,996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46,996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Insurance and claims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94,043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99,203</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193,246</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89,387</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78,032</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167,419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181,789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9,745</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191,534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165,860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174,303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30,887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30,887</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35,884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and other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30,104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179,438</w:t>
            </w: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185,004</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34,005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34,005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185,004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122,025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Interest and debt expense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5"/>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0"/>
                <w:szCs w:val="10"/>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$ 1,511,787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1,190,802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$1,205,406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1,497,058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26,159</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1,523,217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1,190,802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25,621</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1,216,423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3,293</w:t>
            </w:r>
          </w:p>
        </w:tc>
        <w:tc>
          <w:tcPr>
            <w:tcW w:w="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transportation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1,182,045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1,182,045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936,472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936,472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Commissions to agents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117,676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117,676</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98,693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98,693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21,226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15,572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Insurance and claims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32,582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34,118</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66,700</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26,014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44,025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59,047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3,329</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62,376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57,015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9,918</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and other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30,104</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74,564</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65,540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26,326</w:t>
            </w:r>
          </w:p>
        </w:tc>
        <w:tc>
          <w:tcPr>
            <w:tcW w:w="0" w:type="dxa"/>
            <w:vAlign w:val="bottom"/>
          </w:tcPr>
          <w:p>
            <w:pPr>
              <w:spacing w:after="0"/>
              <w:rPr>
                <w:sz w:val="1"/>
                <w:szCs w:val="1"/>
                <w:color w:val="auto"/>
              </w:rPr>
            </w:pPr>
          </w:p>
        </w:tc>
      </w:tr>
      <w:tr>
        <w:trPr>
          <w:trHeight w:val="223"/>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Interest and debt expense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65,178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34" w:lineRule="auto"/>
        <w:tabs>
          <w:tab w:leader="none" w:pos="5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Interest and debt expense includes (i) interest income earned on cash balances held by the transportation logistics segment of $2,088 and $3,549 in the 2026 and 2025 thirty-nine-week periods, respectively, and $837 and $1,140 in the 2026 and 2025 thirteen-week periods, respectively, and</w:t>
      </w:r>
    </w:p>
    <w:p>
      <w:pPr>
        <w:spacing w:after="0" w:line="1" w:lineRule="exact"/>
        <w:rPr>
          <w:rFonts w:ascii="Times New Roman" w:cs="Times New Roman" w:eastAsia="Times New Roman" w:hAnsi="Times New Roman"/>
          <w:sz w:val="22"/>
          <w:szCs w:val="22"/>
          <w:color w:val="auto"/>
          <w:vertAlign w:val="superscript"/>
        </w:rPr>
      </w:pPr>
    </w:p>
    <w:p>
      <w:pPr>
        <w:ind w:left="540" w:right="20"/>
        <w:spacing w:after="0" w:line="260"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(ii) consolidated total interest expense of $3,780 and $4,305 in the 2026 and 2025 thirty-nine-week periods, respectively, and $1,199 and $1,357 in the 2026 and 2025 thirteen-week periods, respectively.</w:t>
      </w:r>
    </w:p>
    <w:p>
      <w:pPr>
        <w:spacing w:after="0" w:line="18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the thirty-nine-week periods ended September 26, 2026 and September 27, 2025, no single customer accounted for more than 10% of the Company’s consolidated revenue.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accumulated other comprehensive loss, net of related income taxes, as of and for the thirty-nine-week period ended September 26, 2026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780" w:type="dxa"/>
            <w:vAlign w:val="bottom"/>
            <w:gridSpan w:val="4"/>
          </w:tcPr>
          <w:p>
            <w:pPr>
              <w:jc w:val="center"/>
              <w:ind w:left="939"/>
              <w:spacing w:after="0" w:line="149" w:lineRule="exact"/>
              <w:rPr>
                <w:sz w:val="20"/>
                <w:szCs w:val="20"/>
                <w:color w:val="auto"/>
              </w:rPr>
            </w:pPr>
            <w:r>
              <w:rPr>
                <w:rFonts w:ascii="Times New Roman" w:cs="Times New Roman" w:eastAsia="Times New Roman" w:hAnsi="Times New Roman"/>
                <w:sz w:val="14"/>
                <w:szCs w:val="14"/>
                <w:b w:val="1"/>
                <w:bCs w:val="1"/>
                <w:color w:val="auto"/>
              </w:rPr>
              <w:t>Holding Losses on</w:t>
            </w:r>
          </w:p>
        </w:tc>
        <w:tc>
          <w:tcPr>
            <w:tcW w:w="17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7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27, 2025</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7"/>
              </w:rPr>
              <w:t>(5,316)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$(5,712)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(1,158)</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26, 2026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(2,629)</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(6,474)</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Amounts reclassified from accumulated other comprehensive income to investment income due to the realization of previously unrealized gains and losses in the accompanying consolidated statements of income were not significant for the thirty-nine-week period ended September 26, 2026.</w:t>
      </w:r>
    </w:p>
    <w:p>
      <w:pPr>
        <w:spacing w:after="0" w:line="284"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Investments include primarily investment-grade corporate bonds, asset-backed securities, commercial paper and U.S. Treasury obligations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commercial paper and direct obligations of government agencies. Unrealized losses, net of unrealized gains, on the investments in the bond portfolio were $3,350,000 and $504,000 at September 26, 2026 and December 27, 2025, respectively.</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amortized cost and fair values of available-for-sale investments are as follows at September 26, 2026 and December 27, 2025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September 26, 2026</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5,557</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113,059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20,492</w:t>
            </w:r>
          </w:p>
        </w:tc>
        <w:tc>
          <w:tcPr>
            <w:tcW w:w="0" w:type="dxa"/>
            <w:vAlign w:val="bottom"/>
          </w:tcPr>
          <w:p>
            <w:pPr>
              <w:spacing w:after="0"/>
              <w:rPr>
                <w:sz w:val="1"/>
                <w:szCs w:val="1"/>
                <w:color w:val="auto"/>
              </w:rPr>
            </w:pPr>
          </w:p>
        </w:tc>
      </w:tr>
      <w:tr>
        <w:trPr>
          <w:trHeight w:val="223"/>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151,971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148,621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7"/>
              </w:rPr>
              <w:t>December 27, 2025</w:t>
            </w:r>
          </w:p>
        </w:tc>
        <w:tc>
          <w:tcPr>
            <w:tcW w:w="462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15,046</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103,425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9,673</w:t>
            </w:r>
          </w:p>
        </w:tc>
        <w:tc>
          <w:tcPr>
            <w:tcW w:w="0" w:type="dxa"/>
            <w:vAlign w:val="bottom"/>
          </w:tcPr>
          <w:p>
            <w:pPr>
              <w:spacing w:after="0"/>
              <w:rPr>
                <w:sz w:val="1"/>
                <w:szCs w:val="1"/>
                <w:color w:val="auto"/>
              </w:rPr>
            </w:pPr>
          </w:p>
        </w:tc>
      </w:tr>
      <w:tr>
        <w:trPr>
          <w:trHeight w:val="223"/>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147,517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those available-for-sale investments with unrealized losses at September 26, 2026 and December 27, 2025, the following table summarizes the duration of the unrealized loss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6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5"/>
                <w:szCs w:val="15"/>
                <w:color w:val="auto"/>
              </w:rPr>
            </w:pP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6"/>
        </w:trPr>
        <w:tc>
          <w:tcPr>
            <w:tcW w:w="15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September 26, 2026</w:t>
            </w:r>
          </w:p>
        </w:tc>
        <w:tc>
          <w:tcPr>
            <w:tcW w:w="4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7,119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198"/>
        </w:trPr>
        <w:tc>
          <w:tcPr>
            <w:tcW w:w="57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94,588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99,086</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20,492</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119,521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11,617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131,138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10,425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98"/>
        </w:trPr>
        <w:tc>
          <w:tcPr>
            <w:tcW w:w="57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13,818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30,590</w:t>
            </w: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19,540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24,243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32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cost for finance leases and operating leases for the thirty-nine weeks ended September 26, 2026 were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$12,566</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shd w:val="clear" w:color="auto" w:fill="CCEEFF"/>
          </w:tcPr>
          <w:p>
            <w:pPr>
              <w:spacing w:after="0"/>
              <w:rPr>
                <w:sz w:val="18"/>
                <w:szCs w:val="18"/>
                <w:color w:val="auto"/>
              </w:rPr>
            </w:pP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cost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(4,864)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operating lease cost</w:t>
            </w: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lease classification on the Company’s consolidated balance sheet as of September 26, 2026 is as follows (in thousands):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54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6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114,841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w:t>
      </w:r>
    </w:p>
    <w:p>
      <w:pPr>
        <w:spacing w:after="0" w:line="117" w:lineRule="exact"/>
        <w:rPr>
          <w:sz w:val="20"/>
          <w:szCs w:val="20"/>
          <w:color w:val="auto"/>
        </w:rPr>
      </w:pPr>
    </w:p>
    <w:p>
      <w:pPr>
        <w:jc w:val="both"/>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finance and operating leases to the finance and operating lease liabilities recorded on the balance sheet at September 26, 2026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27,576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23,672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19,300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91,817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(1.9% to 6.4%)</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82,671</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7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7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25,772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56,899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finance and operating leases as of September 26, 2026 were: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3.6</w:t>
            </w:r>
          </w:p>
        </w:tc>
        <w:tc>
          <w:tcPr>
            <w:tcW w:w="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1.6</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w:t>
            </w:r>
          </w:p>
        </w:tc>
      </w:tr>
    </w:tbl>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120" w:right="1040" w:firstLine="440"/>
        <w:spacing w:after="0" w:line="282" w:lineRule="auto"/>
        <w:rPr>
          <w:sz w:val="20"/>
          <w:szCs w:val="20"/>
          <w:color w:val="auto"/>
        </w:rPr>
      </w:pPr>
      <w:r>
        <w:rPr>
          <w:rFonts w:ascii="Times New Roman" w:cs="Times New Roman" w:eastAsia="Times New Roman" w:hAnsi="Times New Roman"/>
          <w:sz w:val="18"/>
          <w:szCs w:val="18"/>
          <w:color w:val="auto"/>
        </w:rPr>
        <w:t>Other than the finance lease obligations as presented on the consolidated balance sheets, the Company had no outstanding debt as of September 26, 2026 and December 27,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 June 30, 2026, and as previously disclosed in a Form 8-K filed with the SEC on July 6, 2026, Landstar entered into a third amended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restated credit agreement, dated June 30, 2026, with a bank syndicate led by JPMorgan Chase Bank, N.A., as administrative agent (the “Third Amended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Restated Credit Agreement”), which amended and restated the then-existing second amended and restated credit agreement. The Third Amended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Restated Credit Agreement, which matures June 30, 2031, provides for borrowing capacity in the form of a revolving credit facility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$300,000,000, $100,000,000 of which may be utilized in the form of letters of credit. The Third Amended and Restated Credit Agreement also includes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uncommitted “accordion” feature permitting up to an additional $500,000,000 in increases to the revolving credit facility.</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Third Amended and Restated Credit Agreement is referred to herein as the “Credit Agreement.” As of September 26, 2026, the Company had no borrowings outstanding under the Credit Agreement.</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loans under the Credit Agreement, at the option of Landstar, bear interest at (i) a forward-looking term rate based on the secured overnight financing rate and an applicable margin ranging from 1.25% to 2.00%, or (ii) an alternate base rate plus an applicable margin ranging from 0.25% to 1.00%, in each case with the applicable margin determined based upon the Company’s Net Leverage Ratio, as defined in the Credit Agreement, at the end of the most recent applicable fiscal quarter for which financial statements have been delivered. The revolving credit facility bears a commitment fee, payable quarterly in arrears, of 0.175% to 0.25%, based on the Company’s Net Leverage Ratio at the end of the most recent applicable fiscal quarter for which financial statements have been delivered.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interest coverage ratio, as described in the Credit Agreement, and maintain a Net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Net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Short-term investments include $53,683,000 in current maturities of investments held by the Company’s insurance segment at September 26, 2026. The non-current portion of the bond portfolio of $94,938,000 is included in other assets. The short-term investments, together with $30,018,000 of non-current investments, provide collateral for the $75,331,000 of letters of credit issued to guarantee payment of insurance claims. As of September 26, 2026, Landstar also had $34,786,000 of additional letters of credit outstanding under the Company’s Credit Agreement.</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Third party insurance arrangements providing excess coverage for commercial trucking liabilities in excess of the Company’s self-insured retention, or applicable deductible, generally require that the Company fund settlement payments to claimants and seek reimbursement from the applicable third party insurance providers. In connection with settlements of claims in excess of the Company’s self-insured retention or applicable deductible, the Company accrues for the anticipated settlement payments and records a corresponding receivable for the amounts it expects to collect from its third party insurance providers following payment of those settlement amounts. The liability and the related receivable are presented on a gross basis. As of September 26, 2026, the Company’s consolidated balance sheet included an aggregate liability of $21,000,000 for anticipated settlement payments in excess of the Company’s self-insured retention or deductible. The Company believes collection of these receivables from its third party insurance providers is probable following its payment of the settlement amounts included in the accrual. The Company evaluates the collectability of these receivables based on the creditworthiness and surplus of the applicable third party insurance provider, its prior experience with that provider, and the contractual terms of the applicable insurance arrangement.</w:t>
      </w:r>
    </w:p>
    <w:p>
      <w:pPr>
        <w:spacing w:after="0" w:line="3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Change in Accounting Estimate for Self-Insured Claims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w:t>
      </w:r>
    </w:p>
    <w:p>
      <w:pPr>
        <w:spacing w:after="0" w:line="183"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following table summarizes the adverse effect of the increase in the cost of insurance claims resulting from unfavorable development of prior year self-insured claims estimates on operating income, net income and basic and diluted earnings per share set forth in the consolidated statements of income for the thirty-nine-week and thirteen-week periods ended September 26, 2026 and September 27, 2025 (in thousands, except per share amounts):</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0" w:type="dxa"/>
            <w:vAlign w:val="bottom"/>
          </w:tcPr>
          <w:p>
            <w:pPr>
              <w:spacing w:after="0"/>
              <w:rPr>
                <w:sz w:val="15"/>
                <w:szCs w:val="15"/>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74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600" w:type="dxa"/>
            <w:vAlign w:val="bottom"/>
          </w:tcPr>
          <w:p>
            <w:pPr>
              <w:spacing w:after="0"/>
              <w:rPr>
                <w:sz w:val="10"/>
                <w:szCs w:val="10"/>
                <w:color w:val="auto"/>
              </w:rPr>
            </w:pPr>
          </w:p>
        </w:tc>
        <w:tc>
          <w:tcPr>
            <w:tcW w:w="15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0" w:type="dxa"/>
            <w:vAlign w:val="bottom"/>
          </w:tcPr>
          <w:p>
            <w:pPr>
              <w:spacing w:after="0"/>
              <w:rPr>
                <w:sz w:val="10"/>
                <w:szCs w:val="10"/>
                <w:color w:val="auto"/>
              </w:rPr>
            </w:pPr>
          </w:p>
        </w:tc>
      </w:tr>
      <w:tr>
        <w:trPr>
          <w:trHeight w:val="173"/>
        </w:trPr>
        <w:tc>
          <w:tcPr>
            <w:tcW w:w="4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27,838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17,236</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16,355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9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unfavorable development of prior years’ claims during the thirty-nine-week period ended September 26, 2026 was primarily attributable to an increase in the Company’s actuarially determined claim reserves, several specific commercial trucking claims involving BCO Independent Contractors leased on with motor carrier subsidiaries of the Company, several specific truck brokerage claims and cargo loss experience as a result of fraud and theft in the supply chain.</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Subsidiary Wind Down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2025 fiscal year, the Company entered into an arrangement with a financial advisor to actively market its Mexican subsidiary, Landstar Metro, S.A.P.I. de C.V. (“Landstar Metro”) and to consider other strategic alternatives for this subsidiary. During the second fiscal quarter of 2026, the Company stopped actively marketing Landstar Metro and initiated a wind-down of its operations and sales of certain assets. As such, the assets and liabilities of Landstar Metro are no longer presented as held for sale within the consolidated balance sheet at September 26, 2026. It is not anticipated that the disposition of Landstar Metro will adversely affect the Company’s ability to provide U.S.-Mexico cross-border services, given that Landstar Metro was principally engaged in intra-Mexico truck transportation services.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thirty-nine-week period ended September 26, 2026, the Company recognized an impairment of $679,000 included in selling, general and administrative costs within the Company’s consolidated statements of income related to Landstar Metro. As of the end of the 2026 third quarter, the Company is substantially complete with the wind-down process. While the Company does not currently anticipate any further charges to be incurred as a result of the wind-down process, no assurances can be provided that there will not be additional charges and expenses incurred by the Company in connection with any ultimate dissolution of Landstar Metro.</w:t>
      </w:r>
    </w:p>
    <w:p>
      <w:pPr>
        <w:sectPr>
          <w:pgSz w:w="11900" w:h="16838" w:orient="portrait"/>
          <w:cols w:equalWidth="0" w:num="1">
            <w:col w:w="11120"/>
          </w:cols>
          <w:pgMar w:left="320" w:top="482"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expands disclosures about certain categories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annual periods beginning after December 15, 2026. The Company is currently evaluating the impact of ASU 2024-03 on its disclosures, but this standard update is not expected to impact the Company’s results of operations or financial condition.</w:t>
      </w: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interim consolidated financial statements and notes thereto included herein, and with the Company’s audited financial statements and notes thereto for the fiscal year ended December 27, 2025 and Management’s Discussion and Analysis of Financial Condition and Results of Operations included in the 2025 Annual Report on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10-Q contain forward-looking statements, such as statements which relate to Landstar’s business objectives, plans, strategies and expectations. Terms such as “anticipates,” “believes,” “estimates,” “intention,” “expects,” “plans,” “predicts,” “may,” “should,” “could,” “would,”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other claims; unfavorable development of existing accident claims; substantial verdicts or settlements rendered in connection with accidents or other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acquisitions and investments; increased exposure to broker liability claims; and other operational, financial or legal risks or uncertainties detailed in Landstar’s Form 10-K for the</w:t>
      </w:r>
    </w:p>
    <w:p>
      <w:pPr>
        <w:spacing w:after="0" w:line="9" w:lineRule="exact"/>
        <w:rPr>
          <w:sz w:val="20"/>
          <w:szCs w:val="20"/>
          <w:color w:val="auto"/>
        </w:rPr>
      </w:pPr>
    </w:p>
    <w:p>
      <w:pPr>
        <w:jc w:val="both"/>
        <w:ind w:left="120" w:right="60"/>
        <w:spacing w:after="0" w:line="253" w:lineRule="auto"/>
        <w:rPr>
          <w:sz w:val="20"/>
          <w:szCs w:val="20"/>
          <w:color w:val="auto"/>
        </w:rPr>
      </w:pPr>
      <w:r>
        <w:rPr>
          <w:rFonts w:ascii="Times New Roman" w:cs="Times New Roman" w:eastAsia="Times New Roman" w:hAnsi="Times New Roman"/>
          <w:sz w:val="18"/>
          <w:szCs w:val="18"/>
          <w:color w:val="auto"/>
        </w:rPr>
        <w:t>2025 fiscal year, described in Item 1A “Risk Factors;” Landstar’s Form 10-Q for the 2026 second quarter, described in Item 1A “Risk Factors;” in this report or in Landstar’s other Securities and Exchange Commission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Landstar System, Inc. and its subsidiary, Landstar System Holdings, Inc. (collectively referred to herein with their subsidiaries and other affiliated companies as “Landstar” or the “Company”), is a technology-enabled, asset-light provider of freight transportation and logistics solutions focused on safety, security and service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information coordination and are delivered through a network of approximately 980 independent commission sales agents and over 75,000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Landstar markets its freight transportation and logistics services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 freight transportation and logistics business primarily throughout North America with revenue of $4.7 billion during the most recently completed fiscal year. The Company reports the results of two operating segments: the transportation logistics segment and the insurance segment.</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freight transportation and logistics services.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 delivery of time-critical freight, heavy-haul/specialized, hazardous materials (“haz-mat”), cold chain/temperature-controlled, U.S.-Canada and U.S.-Mexico cross-border, project cargo and customs brokerage. Examples of the industries serviced by the transportation logistics segment include automotive parts and assemblies, consumer durables, building products, metals, chemicals, foodstuffs, heavy machinery, retail, electronics,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the thirty-nine weeks ended September 26, 2026, revenue generated by BCO Independent Contractors, Truck Brokerage Carriers and railroads represented approximately 40%, 53% and 2%, respectively, of the Company’s consolidated revenue. Collectively, revenue generated by air and ocean cargo carriers represented approximately 4% of the Company’s consolidated revenue in the thirty-nine-week period ended September 26, 2026.</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insurance segment is comprised of Signature Insurance Company (“Signature”), a wholly-owned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the thirty-nine-week period ended September 26,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Financial Condition and Results of Operations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Management believes the Company’s success principally depends on its ability to generate freight transportation opportunities through its network of independent commission sales agents and to deliver freight safely, securely and efficiently utilizing BCO Independent Contractors and other third party capacity providers. Management believes the most significant factors to the Company’s success include increasing revenue, sourcing capacity, empowering its network through technology-based tools and controlling costs, including insurance and claims.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(“Million Dollar Agents”).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technologies they may use to grow revenue and increase efficiencies at their businesses. During the 2025 fiscal year, 457 independent commission sales agents generated $1 million or more of Landstar revenue and thus qualified as Million Dollar Agents. During the 2025 fiscal year, the average revenue generated by a Million Dollar Agent was $9,827,000 and revenue generated by Million Dollar Agents in the aggregate represented 95% of consolidated revenue.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r>
      <w:tr>
        <w:trPr>
          <w:trHeight w:val="173"/>
        </w:trPr>
        <w:tc>
          <w:tcPr>
            <w:tcW w:w="12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r>
      <w:tr>
        <w:trPr>
          <w:trHeight w:val="176"/>
        </w:trPr>
        <w:tc>
          <w:tcPr>
            <w:tcW w:w="310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Revenue generated through (in thousands):</w:t>
            </w:r>
          </w:p>
        </w:tc>
        <w:tc>
          <w:tcPr>
            <w:tcW w:w="160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16"/>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2,080,868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1,769,440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759,949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583,369</w:t>
            </w:r>
          </w:p>
        </w:tc>
      </w:tr>
      <w:tr>
        <w:trPr>
          <w:trHeight w:val="216"/>
        </w:trPr>
        <w:tc>
          <w:tcPr>
            <w:tcW w:w="470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1,379,319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1,127,276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518,582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386,006</w:t>
            </w:r>
          </w:p>
        </w:tc>
      </w:tr>
      <w:tr>
        <w:trPr>
          <w:trHeight w:val="216"/>
        </w:trPr>
        <w:tc>
          <w:tcPr>
            <w:tcW w:w="47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24,480</w:t>
            </w:r>
          </w:p>
        </w:tc>
      </w:tr>
      <w:tr>
        <w:trPr>
          <w:trHeight w:val="216"/>
        </w:trPr>
        <w:tc>
          <w:tcPr>
            <w:tcW w:w="470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288,807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103,707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96,041</w:t>
            </w:r>
          </w:p>
        </w:tc>
      </w:tr>
      <w:tr>
        <w:trPr>
          <w:trHeight w:val="223"/>
        </w:trPr>
        <w:tc>
          <w:tcPr>
            <w:tcW w:w="47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3,257,752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1,407,171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1,089,896</w:t>
            </w:r>
          </w:p>
        </w:tc>
        <w:tc>
          <w:tcPr>
            <w:tcW w:w="200" w:type="dxa"/>
            <w:vAlign w:val="bottom"/>
          </w:tcPr>
          <w:p>
            <w:pPr>
              <w:spacing w:after="0"/>
              <w:rPr>
                <w:sz w:val="19"/>
                <w:szCs w:val="19"/>
                <w:color w:val="auto"/>
              </w:rPr>
            </w:pP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23,668</w:t>
            </w:r>
          </w:p>
        </w:tc>
      </w:tr>
      <w:tr>
        <w:trPr>
          <w:trHeight w:val="216"/>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153,047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55,334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72,270</w:t>
            </w: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64,084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19,572</w:t>
            </w:r>
          </w:p>
        </w:tc>
      </w:tr>
      <w:tr>
        <w:trPr>
          <w:trHeight w:val="223"/>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4,115,342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3,569,291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1,511,787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1,205,406</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4700" w:type="dxa"/>
            <w:vAlign w:val="bottom"/>
            <w:gridSpan w:val="5"/>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Revenue on loads hauled via BCO Independent Contractors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total truck transportation</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1,629,408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1,345,852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590,987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457,363</w:t>
            </w:r>
          </w:p>
        </w:tc>
      </w:tr>
      <w:tr>
        <w:trPr>
          <w:trHeight w:val="175"/>
        </w:trPr>
        <w:tc>
          <w:tcPr>
            <w:tcW w:w="4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Number of loads: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1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870,347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850,047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277,893</w:t>
            </w:r>
          </w:p>
        </w:tc>
      </w:tr>
      <w:tr>
        <w:trPr>
          <w:trHeight w:val="216"/>
        </w:trPr>
        <w:tc>
          <w:tcPr>
            <w:tcW w:w="47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369,495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123,254</w:t>
            </w:r>
          </w:p>
        </w:tc>
      </w:tr>
      <w:tr>
        <w:trPr>
          <w:trHeight w:val="216"/>
        </w:trPr>
        <w:tc>
          <w:tcPr>
            <w:tcW w:w="470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115,692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29,834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38,862</w:t>
            </w:r>
          </w:p>
        </w:tc>
      </w:tr>
      <w:tr>
        <w:trPr>
          <w:trHeight w:val="216"/>
        </w:trPr>
        <w:tc>
          <w:tcPr>
            <w:tcW w:w="47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135,606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45,421</w:t>
            </w: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70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1,470,840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500,650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485,430</w:t>
            </w:r>
          </w:p>
        </w:tc>
      </w:tr>
      <w:tr>
        <w:trPr>
          <w:trHeight w:val="216"/>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7,990</w:t>
            </w: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7,810</w:t>
            </w:r>
          </w:p>
        </w:tc>
      </w:tr>
      <w:tr>
        <w:trPr>
          <w:trHeight w:val="223"/>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1,528,920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1,517,170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516,110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501,230</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4700" w:type="dxa"/>
            <w:vAlign w:val="bottom"/>
            <w:gridSpan w:val="5"/>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Loads hauled via BCO Independent Contractors included in</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644,870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597,010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212,660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199,010</w:t>
            </w:r>
          </w:p>
        </w:tc>
      </w:tr>
      <w:tr>
        <w:trPr>
          <w:trHeight w:val="175"/>
        </w:trPr>
        <w:tc>
          <w:tcPr>
            <w:tcW w:w="4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Revenue per load: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2,577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2,099</w:t>
            </w:r>
          </w:p>
        </w:tc>
      </w:tr>
      <w:tr>
        <w:trPr>
          <w:trHeight w:val="216"/>
        </w:trPr>
        <w:tc>
          <w:tcPr>
            <w:tcW w:w="47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3,132</w:t>
            </w:r>
          </w:p>
        </w:tc>
      </w:tr>
      <w:tr>
        <w:trPr>
          <w:trHeight w:val="216"/>
        </w:trPr>
        <w:tc>
          <w:tcPr>
            <w:tcW w:w="470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47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2,114</w:t>
            </w:r>
          </w:p>
        </w:tc>
      </w:tr>
      <w:tr>
        <w:trPr>
          <w:trHeight w:val="216"/>
        </w:trPr>
        <w:tc>
          <w:tcPr>
            <w:tcW w:w="470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2,245</w:t>
            </w:r>
          </w:p>
        </w:tc>
      </w:tr>
      <w:tr>
        <w:trPr>
          <w:trHeight w:val="216"/>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2,962</w:t>
            </w: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9,254</w:t>
            </w:r>
          </w:p>
        </w:tc>
      </w:tr>
      <w:tr>
        <w:trPr>
          <w:trHeight w:val="198"/>
        </w:trPr>
        <w:tc>
          <w:tcPr>
            <w:tcW w:w="47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Revenue per load on loads hauled via BCO Independent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Contractors</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2,254</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2,298</w:t>
            </w:r>
          </w:p>
        </w:tc>
      </w:tr>
      <w:tr>
        <w:trPr>
          <w:trHeight w:val="196"/>
        </w:trPr>
        <w:tc>
          <w:tcPr>
            <w:tcW w:w="37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Revenue by capacity type (as a % of total revenue):</w:t>
            </w: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Truck capacity providers: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7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Truck Brokerage Carriers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7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left="540" w:hanging="424"/>
        <w:spacing w:after="0" w:line="220" w:lineRule="auto"/>
        <w:tabs>
          <w:tab w:leader="none" w:pos="5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 w:lineRule="exact"/>
        <w:rPr>
          <w:rFonts w:ascii="Times New Roman" w:cs="Times New Roman" w:eastAsia="Times New Roman" w:hAnsi="Times New Roman"/>
          <w:sz w:val="27"/>
          <w:szCs w:val="27"/>
          <w:color w:val="auto"/>
          <w:vertAlign w:val="superscript"/>
        </w:rPr>
      </w:pPr>
    </w:p>
    <w:p>
      <w:pPr>
        <w:ind w:left="540" w:right="80" w:hanging="424"/>
        <w:spacing w:after="0" w:line="200" w:lineRule="auto"/>
        <w:tabs>
          <w:tab w:leader="none" w:pos="5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primarily reinsurance premium revenue generated by the insurance segment and intra-Mexico transportation services revenue generated by Landstar Metro.</w:t>
      </w:r>
    </w:p>
    <w:p>
      <w:pPr>
        <w:sectPr>
          <w:pgSz w:w="11900" w:h="16838" w:orient="portrait"/>
          <w:cols w:equalWidth="0" w:num="1">
            <w:col w:w="11060"/>
          </w:cols>
          <w:pgMar w:left="320" w:top="482" w:right="519" w:bottom="1440" w:gutter="0" w:footer="0" w:header="0"/>
        </w:sectPr>
      </w:pP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82" w:right="5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Purchased transportation</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Also critical to the Company’s success is its ability to secure capacity, particularly truck capacity, at rates that allow the Company to profitably transport customers’ freight. The following table summarizes the number of available truck capacity providers on the dates indicated:</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73"/>
        </w:trPr>
        <w:tc>
          <w:tcPr>
            <w:tcW w:w="59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Truck Brokerage Carriers: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Approved and active </w:t>
            </w:r>
            <w:r>
              <w:rPr>
                <w:rFonts w:ascii="Times New Roman" w:cs="Times New Roman" w:eastAsia="Times New Roman" w:hAnsi="Times New Roman"/>
                <w:sz w:val="25"/>
                <w:szCs w:val="25"/>
                <w:color w:val="auto"/>
                <w:vertAlign w:val="superscript"/>
              </w:rPr>
              <w:t>(1)</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39,460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40,004</w:t>
            </w:r>
          </w:p>
        </w:tc>
      </w:tr>
      <w:tr>
        <w:trPr>
          <w:trHeight w:val="22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approved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4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67,915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67,465</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truck capacity providers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75,758</w:t>
            </w:r>
          </w:p>
        </w:tc>
        <w:tc>
          <w:tcPr>
            <w:tcW w:w="5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75,292</w:t>
            </w:r>
          </w:p>
        </w:tc>
        <w:tc>
          <w:tcPr>
            <w:tcW w:w="4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 provided by BCO Independent Contractors</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8,709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8,618</w:t>
            </w:r>
          </w:p>
        </w:tc>
      </w:tr>
    </w:tbl>
    <w:p>
      <w:pPr>
        <w:spacing w:after="0" w:line="27"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Active refers to Truck Brokerage Carriers who moved at least one load in the 180 days immediately preceding the fiscal quarter end.</w:t>
      </w:r>
    </w:p>
    <w:p>
      <w:pPr>
        <w:spacing w:after="0" w:line="19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Commissions to agents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Commissions to agents are based on contractually agreed-upon percentages of (i) revenue, (ii) revenue less the cost of purchased transportation, or</w:t>
      </w:r>
    </w:p>
    <w:p>
      <w:pPr>
        <w:spacing w:after="0" w:line="39" w:lineRule="exact"/>
        <w:rPr>
          <w:sz w:val="20"/>
          <w:szCs w:val="20"/>
          <w:color w:val="auto"/>
        </w:rPr>
      </w:pPr>
    </w:p>
    <w:p>
      <w:pPr>
        <w:ind w:left="120" w:right="280" w:hanging="4"/>
        <w:spacing w:after="0" w:line="253"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less a contractually agreed-upon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costs, net of gains on asset sales/dispositions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Maintenance costs for Company-provided trailing equipment, the provision for uncollectible advances and other receivables due from BCO Independent Contractors and independent commission sales agents and recruiting and qualification costs for BCO Independent Contractors are the largest components of other operating costs. Also included in other operating costs are trailer rental costs and gains/losses, if any, on sales of Company-owned trailing equipment.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in current and periodic reports filed with the SEC, during the last week of the Company’s 2025 first quarter, the Company identified a supply chain fraud relating to the Company’s international freight forwarding operations. Other operating costs during the thirty-nine-week period ended September 27, 2025 included a $4.8 million expense relating to this matter.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claims</w:t>
      </w:r>
    </w:p>
    <w:p>
      <w:pPr>
        <w:spacing w:after="0" w:line="11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With respect to insurance and claims cost, potential liability associated with accidents in the trucking industry is severe and occurrences are unpredictable.</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Landstar retains liability through a self-insured retention for commercial trucking claims up to $5 million per occurrence. The Company also maintains third party insurance arrangements providing coverage for commercial trucking liabilities in excess of $5 million.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w:t>
      </w:r>
    </w:p>
    <w:p>
      <w:pPr>
        <w:spacing w:after="0" w:line="18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Effective June 1, 2026, the Company entered into a new three year commercial auto liability insurance arrangement for losses incurred between $5 million and $10 million (the “2026 Initial Excess Policy”) with a third party insurance company. For commercial trucking claims incurred on or after June 1, 2026 through May 31, 2029, the 2026 Initial Excess Policy provides for a limit for a single loss of $5 million, with a $10 million per policy year aggregate limit and an aggregate limit of $15 million over the thirty-six month term. It also includes a $2.5 million per policy year aggregate loss corridor. Moreover, in the event paid aggregate losses under the 2026 Initial Excess Policy during the three year period ending May 31, 2029 exceed a pre-determined threshold amount, the 2026 Initial Excess Policy requires the Company to pay an additional premium up to a maximum amount of</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 million.</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Over the past fifteen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May 31, 2027, the Company experienced an increase of approximately $21 million, or approximately 390%, in the premiums charged by third party insurance companies to the Company for excess coverage for commercial trucking liabilities in excess of $10 million.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May 31, 2027, the Company would have an aggregate financial exposure of approximately $33 million. Within the Company’s third party insurance arrangements providing excess coverage for commercial trucking liabilities, structured arrangements with third party reinsurers within a specific loss layer may also include provisions that require additional payments of premium in the event of unfavorable loss experience or a refund of premium in the event of favorable loss experience.</w:t>
      </w:r>
    </w:p>
    <w:p>
      <w:pPr>
        <w:spacing w:after="0" w:line="188"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may be reduced by various legal defenses and other factors including the extent to which such carriers maintain their own insurance coverage. However, Montgomery v. Caribe Transport II, LLC has narrowed our ability to rely on Federal Aviation Administration Authorization Act of 1994 (the “FAAAA”) preemption as a defense by holding that state-law negligent selection claims against freight brokers fall within the statute’s motor vehicle safety exception, which could have an adverse impact on our claims experience. A material increase in the frequency or severity of accidents, cargo claims or workers’ compensation claims or the material unfavorable development of existing claims could have a material adverse effect on Landstar’s cost of insurance and claims and its results of operations. For more information, see Part II, Item 1A, “Risk Factors—Increased exposure to Broker Liability Claims” in the Quarterly Report on Form 10-Q for the quarterly period ended June 27, 2026 and Part I, Item 1A, “Risk Factors—Increased severity or frequency of accidents and other claims or a material unfavorable development of existing claims” in the Company’s Annual Report on Form 10-K for the fiscal year ended December 27,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During the thirty-nine-week period ended September 26, 2026, employee compensation and benefits accounted for approximately 65%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primarily relate to depreciation of trailing equipment and information technology hardware and software.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intangible and other assets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in current and periodic reports filed with the SEC, during the 2025 third quarter, the Company recorded certain non-cash, non-recurring impairment charges of $30,104,000 in the aggregate (the “Non-Cash Impairment Charges”). The Non-Cash Impairment Charges represented $0.66 per basic and diluted share. The Non-Cash Impairment Charges consisted of:</w:t>
      </w:r>
    </w:p>
    <w:p>
      <w:pPr>
        <w:spacing w:after="0" w:line="81" w:lineRule="exact"/>
        <w:rPr>
          <w:sz w:val="20"/>
          <w:szCs w:val="20"/>
          <w:color w:val="auto"/>
        </w:rPr>
      </w:pPr>
    </w:p>
    <w:p>
      <w:pPr>
        <w:ind w:left="1080" w:right="4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$16,142,000, or $0.35 per basic and diluted share, in impairment charges to goodwill and certain other assets related to the Company’s decision to actively market for sale Landstar Metro, S.A.P.I. de C.V. (“Landstar Metro”), the Company’s wholly-owned Mexican operating subsidiary, principally engaged in intra-Mexico truck transportation services. For additional information regarding the disposition of Landstar Metro, see Note 13 in the “Notes to Consolidated Financial Statements” in this Quarterly Report on Form 10-Q.</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$8,963,000, or $0.20 per basic and diluted share, in impairment charges related to the decision to select one of the Company’s transportation management systems as its primary such system for truckload brokerage services and, in connection with that decision, wind down an alternative transportation management system used by Landstar Blue, LLC, one of the Company’s operating subsidiaries.</w:t>
      </w:r>
    </w:p>
    <w:p>
      <w:pPr>
        <w:spacing w:after="0" w:line="81"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$4,999,000, or $0.11 per basic and diluted share, relating to the carrying value of a non-controlling equity investment made by the Company in 2022 in Cavnue, LLC, a privately held technology start-up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the provision for uncollectible advances and other receivables due from BCO Independent Contractors and independent commission sales agents and BCO Independent Contractor recruiting and qualification costs, as reported in the Company’s Consolidated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Profit, Variable Contribution, Gross Profit Margin and Variable Contribution Margin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reconciliations of gross profit to variable contribution and gross profit margin to variable contribution margin are each presented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20" w:type="dxa"/>
            <w:vAlign w:val="bottom"/>
          </w:tcPr>
          <w:p>
            <w:pPr>
              <w:spacing w:after="0"/>
              <w:rPr>
                <w:sz w:val="15"/>
                <w:szCs w:val="15"/>
                <w:color w:val="auto"/>
              </w:rPr>
            </w:pPr>
          </w:p>
        </w:tc>
        <w:tc>
          <w:tcPr>
            <w:tcW w:w="23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4,115,342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3,569,291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1,511,787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1,205,406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3,212,442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2,775,761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1,182,045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Commissions to agents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291,529</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costs of revenue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3,531,696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3,067,290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1,299,721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1,035,165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Trailing equipment depreciation</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20,829</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Information technology costs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10,928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Insurance-related costs (1)</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130,955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104,622</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55,301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operating costs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53,971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46,996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costs of revenue</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212,220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183,375</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of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3,743,916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3,250,665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1,385,240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1,094,346</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371,426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318,626</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other costs of revenue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183,375</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85,519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502,001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212,066</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170,241</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Variable contribution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540" w:right="60" w:hanging="424"/>
        <w:spacing w:after="0" w:line="220" w:lineRule="auto"/>
        <w:tabs>
          <w:tab w:leader="none" w:pos="5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w:t>
      </w:r>
    </w:p>
    <w:p>
      <w:pPr>
        <w:spacing w:after="0" w:line="2" w:lineRule="exact"/>
        <w:rPr>
          <w:rFonts w:ascii="Times New Roman" w:cs="Times New Roman" w:eastAsia="Times New Roman" w:hAnsi="Times New Roman"/>
          <w:sz w:val="27"/>
          <w:szCs w:val="27"/>
          <w:color w:val="auto"/>
          <w:vertAlign w:val="superscript"/>
        </w:rPr>
      </w:pPr>
    </w:p>
    <w:p>
      <w:pPr>
        <w:ind w:left="540" w:right="80"/>
        <w:spacing w:after="0" w:line="25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agreed-upon percentage of the amount represented by revenue less purchased transportation for these types of shipments. Approximately 44% of the Company’s consolidated revenue in the thirty-nine-week period ended September 26, 2026 was generated under transactions that pay a fixed percentage of revenue to the third party capacity provider and/or agents while approximately 56% was generated under transactions that pay a variable percentage of revenue to the third party capacity provider and/or agents.</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income as a percentage of gross profit and operating income as a percentage of variable contribution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80" w:type="dxa"/>
            <w:vAlign w:val="bottom"/>
          </w:tcPr>
          <w:p>
            <w:pPr>
              <w:spacing w:after="0"/>
              <w:rPr>
                <w:sz w:val="15"/>
                <w:szCs w:val="15"/>
                <w:color w:val="auto"/>
              </w:rPr>
            </w:pPr>
          </w:p>
        </w:tc>
        <w:tc>
          <w:tcPr>
            <w:tcW w:w="24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44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66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r>
      <w:tr>
        <w:trPr>
          <w:trHeight w:val="173"/>
        </w:trPr>
        <w:tc>
          <w:tcPr>
            <w:tcW w:w="4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318,626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111,060</w:t>
            </w: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185,004</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122,025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65,540</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gross profit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23.7%</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583,646</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502,001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212,066</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170,241</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185,004</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65,540</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26,326</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variable contribution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24.3%</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w:t>
            </w:r>
          </w:p>
        </w:tc>
      </w:tr>
    </w:tbl>
    <w:p>
      <w:pPr>
        <w:spacing w:after="0" w:line="17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increase in operating income as a percentage of gross profit from the thirty-nine-week period ended September 27, 2025 to the thirty-nine-week period ended September 26, 2026 resulted from the increase of operating income at a more rapid percentage rate than the increase in gross profit, primarily due to the impact of the impairment of certain intangible and other assets in the 2025 thirty-nine-week period and the Company’s ability to scale its fixed cost infrastructure, primarily certain components of selling, general and administrative costs, across a larger gross profit base, and the impact of the supply chain fraud matter in the 2025 thirty-nine-week period. The increase in operating income as a percentage of gross profit from the 2025 thirteen-week period to the 2026 thirteen-week period was primarily due to the impact of the impairment of certain intangible and other assets in the 2025 thirteen-week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increase in operating income as a percentage of variable contribution from the thirty-nine-week period ended September 27, 2025 to the thirty-nine-week period ended September 26, 2026 and from the 2025 thirteen-week period to the 2026 thirteen-week period resulted from the increase of operating income at a more rapid percentage rate than the increase in variable contribution, primarily due to the impact of the impairment of certain intangible and other assets in the 2025 thirty-nine-week and thirteen-week periods and the Company’s ability to scale its fixed cost infrastructure, primarily certain components of selling, general and administrative costs across a larger variable contribution base, partially offset by increased insurance and claims costs and an increased provision for incentive compensation in the 2026 thirty-nine-week and thirteen-week periods.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THIRTY-NINE WEEKS ENDED SEPTEMBER 26, 2026 COMPARED TO THIRTY-NINE WEEKS ENDED SEPTEMBER 27, 2025</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Revenue for the 2026 thirty-nine-week period was $4,115,342,000, an increase of $546,051,000, or 15%, compared to the 2025 thirty-nine-week period. Transportation revenue increased $546,590,000, or 16%. The increase in transportation revenue was attributable to an increased revenue per load of approximately 15% and an increased number of loads of approximately 1% as compared to the 2025 thirty-nine-week period. Reinsurance premiums were $43,518,000 and $44,057,000 for the 2026 and 2025 thirty-nine-week periods, respectively. The decrease in revenue from reinsurance premiums was primarily attributable to a decrease in the average number of trucks provided by BCO Independent Contractors in the 2026 thirty-nine-week period compared to the 2025 thirty-nine-week period.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Truck transportation revenue generated by BCO Independent Contractors and Truck Brokerage Carriers (together, the “third party truck capacity providers”) for the 2026 thirty-nine-week period was $3,823,330,000, representing 93% of total revenue, an increase of $565,578,000, or 17%, compared to the 2025 thirty-nine-week period. Revenue per load on loads hauled by third party truck capacity providers increased approximately 16% in the 2026 thirty-nine-week period compared to the 2025 thirty-nine-week period, and the number of loads hauled by third party truck capacity providers increased approximately 1% in the 2026 thirty-nine-week period compared to the 2025 thirty-nine-week period.</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increase in revenue per load on loads hauled via truck was primarily due to a tightening truck capacity environment in the 2026 thirty-nine-week period and the impact of higher diesel fuel costs on loads hauled via Truck Brokerage Carrier, partially offset by the impact of a lower average length of haul. During the 2026 thirty-nine-week period, revenue per load on less-than-truckload loadings increased 24%, on loads hauled via unsided/platform equipment increased 21%, and on loads hauled via van equipment increased 15%, while revenue per load on other truck transportation services decreased 5%, in each case, as compared to the 2025 thirty-nine-week period.</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increase in the number of loads hauled via truck for the 2026 thirty-nine-week period compared to the 2025 thirty-nine-week period was primarily due to increased demand from the 2025 thirty-nine-week period for the Company’s van, unsided/platform and other truck transportation services. Loads hauled via other truck transportation services increased 6%, loads hauled via van equipment increased 2% and loads hauled via unsided/platform equipment increased 2%, while less-than-truckload loadings decreased 17%, in each case, as compared to the 2025 thirty-nine-week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Brokerage Carrier revenue identified separately in billings to customers and included as a component of Truck Brokerage Carrier revenue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$115,563,000 and $82,232,000 in the 2026 and 2025 thirty-nine-week periods, respectively. It should be noted that billings to many customers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truck brokerage services include a single all-in rate that do not separately identify fuel surcharges on loads hauled via Truck Brokerage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Carriers. Accordingly, the overall impact of changes in fuel prices on revenue and revenue per load on loads hauled via truck is likely to be greater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indicated.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Transportation revenue generated by rail intermodal, air cargo and ocean cargo carriers (collectively, the “multimode capacity providers”) for the 2026 thirty-nine-week period was $227,928,000, or 6% of total revenue, a decrease of $23,951,000, or 10%, compared to the 2025 thirty-nine-week period. Revenue per load on revenue generated by multimode capacity providers decreased approximately 6% in the 2026 thirty-nine-week period compared to the 2025 thirty-nine-week period, and the number of loads hauled by multimode capacity providers decreased approximately 4% over the same period. Revenue per load on loads hauled via ocean decreased approximately 7%, while air and rail intermodal revenue per load increased approximately 19% and 10%, respectively, during the 2026 thirty-nine-week period as compared to the 2025 thirty-nine-week period. The decrease in revenue per load on loads hauled by ocean cargo carriers was primarily attributable to decreases at several customers during the 2026 thirty-nine-week period. The increase in revenue per load on loads hauled by air cargo carriers was primarily attributable to increases at several specific customers during the 2026 thirty-nine-week period. The increase in revenue per load on loads hauled by rail intermodal carriers was attributable to the tighter truck capacity environment positively impacting intermodal revenue per load and the impact of higher diesel fuel costs during the 2026 thirty-nine-week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16% decrease in ocean loadings and a 10% decrease in air loadings, while rail intermodal loadings increased 7%. The 16% decrease in ocean loadings was broad-based with decreases at several customers. The 10% decrease in air loadings was primarily attributable to decreases at two specific agencies. The 7% increase in rail loadings was primarily attributable to increased loadings at one specific agency.</w:t>
      </w:r>
    </w:p>
    <w:p>
      <w:pPr>
        <w:spacing w:after="0" w:line="19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Purchased transportation was 78.1% and 77.8% of revenue in the 2026 and 2025 thirty-nine-week periods, respectively. The increase in purchased transportation as a percentage of revenue was primarily due to an increased rate of purchased transportation on revenue generated by Truck Brokerage Carriers, partially offset by favorable mix. Commissions to agents were 7.8% and 8.2% of revenue in the 2026 and 2025 thirty-nine-week periods, respectively. The decrease in commissions to agents as a percentage of revenue was primarily attributable to an increased cost of purchased transportation as a percentage of revenue on revenue generated by Truck Brokerage Carriers.</w:t>
      </w:r>
    </w:p>
    <w:p>
      <w:pPr>
        <w:spacing w:after="0" w:line="183"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was $7,943,000 and $10,620,000 in the 2026 and 2025 thirty-nine-week periods, respectively. The decrease in investment income was attributable to a lower average investment balance held by the insurance segment in the 2026 thirty-nine-week period and lower average rates of return on investments during the 2026 thirty-nine-week period.</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Other operating costs increased $6,975,000 in the 2026 thirty-nine-week period compared to the 2025 thirty-nine-week period. The increase in other operating costs compared to the prior year was primarily due to increased trailer equipment maintenance costs, increased trailer rental costs and decreased gains on sales of operating property, partially offset by an approximately $4,800,000 expense relating to the supply chain fraud matter in the 2025 thirty-nine-week period referenced above under “</w:t>
      </w:r>
      <w:r>
        <w:rPr>
          <w:rFonts w:ascii="Times New Roman" w:cs="Times New Roman" w:eastAsia="Times New Roman" w:hAnsi="Times New Roman"/>
          <w:sz w:val="18"/>
          <w:szCs w:val="18"/>
          <w:i w:val="1"/>
          <w:iCs w:val="1"/>
          <w:color w:val="auto"/>
        </w:rPr>
        <w:t>Expenses - Other operating costs, net of gains on asset sales/dispositions.”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Insurance and claims increased $26,884,000 in the 2026 thirty-nine-week period compared to the 2025 thirty-nine-week period. The increase in insurance and claims expense compared to the prior year was primarily attributable to (a) increased net unfavorable development of prior years’ claims in the 2026 thirty-nine-week period, which was driven by (i) an increase in the Company’s actuarially determined claim reserves; (ii) several specific commercial trucking claims involving BCO Independent Contractors leased on with motor carrier subsidiaries of the Company; (iii) several specific truck brokerage claims; and (iv) cargo loss experience as a result of fraud and theft in the supply chain and (b) an increase in the Company’s actuarially determined claim reserves relating to current year trucking claims during the 2026 thirty-nine-week period as compared to the 2025 period. During the 2026 and 2025 thirty-nine-week periods, insurance and claims costs included $37,317,000 and $22,860,000 of net unfavorable adjustments to prior years’ claims estimates, respectively.</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costs increased $17,231,000 in the 2026 thirty-nine-week period compared to the 2025 thirty-nine-week period. The increase in selling, general and administrative costs compared to prior year was primarily attributable to an increased provision for incentive compensation and increased stock-based compensation expense, partially offset by a decreased provision for customer bad debt in the 2026 thirty-nine-week period. Included in selling, general and administrative costs was incentive compensation expense of $16,738,000 and $2,925,000, respectively, and stock-based compensation expense of $8,443,000 and $5,243,000, respectively, for the 2026 and 2025 thirty-nine-week periods.</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$4,997,000 in the 2026 thirty-nine-week period compared to the 2025 thirty-nine-week period. The decrease in depreciation and amortization expense was primarily due to decreased depreciation on information technology software and decreased trailing equipment depreciation in the 2026 thirty-nine-week period.</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Impairment of intangibles and other assets was $30,104,000 in the 2025 thirty-nine-week period. This was attributable to the impairment matters referenced above under “</w:t>
      </w:r>
      <w:r>
        <w:rPr>
          <w:rFonts w:ascii="Times New Roman" w:cs="Times New Roman" w:eastAsia="Times New Roman" w:hAnsi="Times New Roman"/>
          <w:sz w:val="18"/>
          <w:szCs w:val="18"/>
          <w:i w:val="1"/>
          <w:iCs w:val="1"/>
          <w:color w:val="auto"/>
        </w:rPr>
        <w:t>Expenses – Impairment of intangible and other assets.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Interest and debt expense increased $936,000 in the 2026 thirty-nine-week period compared to the 2025 thirty-nine-week period. The increase in interest and debt expense was primarily attributable to decreased interest income earned on cash balances held by the transportation logistics segment, partially offset by decreased interest expense related to finance lease obligations.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provisions for income taxes for the 2026 and 2025 thirty-nine-week periods were based on estimated annual effective income tax rates of 25.4% and 24.6%, respectively, adjusted for discrete events, such as excess tax benefits or deficiencies resulting from stock-based awards. The effective income tax rate for the 2026 thirty-nine-week period was 25.6%. The effective income tax rate was higher than the statutory federal income tax rate of 21% in the 2026 period primarily attributable to state taxes. The effective income tax rate for the 2025 thirty-nine-week period was 24.9%. The effective income tax rate was higher than the statutory federal income tax rate of 21% in the 2025 period primarily attributable to state taxes.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Net income was $136,434,000, or $4.02 per basic and diluted share, in the 2026 thirty-nine-week period. Net income was $91,063,000, or $2.61 per basic and diluted share, in the 2025 thirty-nine-week period. Net income during the 2025 thirty-nine-week period was unfavorably impacted by $30,104,000, or $0.66 per basic and diluted share, related to the impairment of intangible and other assets charges noted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THIRTEEN WEEKS ENDED SEPTEMBER 26, 2026 COMPARED TO THIRTEEN WEEKS ENDED SEPTEMBER 27, 2025</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for the 2026 thirteen-week period was $1,511,787,000, an increase of $306,381,000, or 25%, compared to the 2025 thirteen-week period. Transportation revenue increased $306,256,000, or 26%. The increase in transportation revenue was attributable to an increased revenue per load of approximately 22% and an increased number of loads hauled of approximately 3% as compared to the 2025 thirteen-week period. Reinsurance premiums were $14,729,000 and $14,604,000 for the 2026 and 2025 thirteen-week periods, respectively.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Truck transportation revenue generated by third party truck capacity providers for the 2026 thirteen-week period was $1,407,171,000, representing 93% of total revenue, an increase of $317,275,000, or 29%, compared to the 2025 thirteen-week period. Revenue per load on loads hauled by third party truck capacity providers increased approximately 25% in the 2026 thirteen-week period compared to the 2025 thirteen-week period, and the number of loads hauled by third party truck capacity providers increased approximately 3% in the 2026 thirteen-week period compared to the 2025 thirteen-week period.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increase in revenue per load on loads hauled via truck was primarily due to a tightening truck capacity environment in the 2026 thirteen-week period and the impact of higher diesel fuel costs on loads hauled via Truck Brokerage Carriers, partially offset by the impact of a lower average length of haul. During the 2026 thirteen-week period, revenue per load on less-than-truckload loadings increased 33%, on loads hauled via unsided/platform equipment increased 29%, on loads hauled via van equipment increased 23% and on other truck transportation services increased 3% as compared to the 2025 thirteen-week period.</w:t>
      </w:r>
    </w:p>
    <w:p>
      <w:pPr>
        <w:spacing w:after="0" w:line="183"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The increase in the number of loads hauled via truck for the 2026 thirteen-week period compared to the 2025 thirteen-week period was primarily due to increased demand from the 2025 thirteen-week period for the Company’s van, unsided/platform and other truck transportation services. Loads hauled via van equipment increased 6%, loads hauled via other truck transportation services increased 5% and loads hauled via unsided/platform equipment increased 4%, while less-than-truckload loadings decreased 23%, in each case, as compared to the 2025 thirteen-week period.</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$44,326,000 and $28,216,000 in the 2026 and 2025 thirteen-week periods, respectively.</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Transportation revenue generated by multimode capacity providers for the 2026 thirteen-week period was $83,140,000, or 5% of total revenue, a decrease of $12,798,000, or 13%, compared to the 2025 thirteen-week period. Revenue per load on revenue generated by multimode capacity providers decreased approximately 11% in the 2026 thirteen-week period compared to the 2025 thirteen-week period, and the number of loads hauled by multimode capacity providers decreased approximately 2% over the same period. Revenue per load on loads hauled via ocean decreased approximately 18%, while air and rail intermodal revenue per load increased approximately 13% and 11%, respectively, during the 2026 thirteen-week period as compared to the 2025 thirteen-week period. The decrease in revenue per load on loads hauled by ocean was primarily attributable to decreases at one specific customer during the 2026 thirteen-week period. The increase in revenue per load on loads hauled by air cargo carriers was broad-based with increases at multiple customers during the 2026 thirteen-week period. The increase in revenue per load on loads hauled by rail intermodal carriers was attributable to the tighter truck capacity environment positively impacting intermodal revenue per load and the impact of higher diesel fuel costs during the 2026 thirteen-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14% decrease in air loadings and a 9% decrease in ocean loadings, while rail intermodal loadings increased 6%. The 14% decrease in air loadings was primarily attributable to decreases at one specific agency. The 9% decrease in ocean loadings was broad-based with decreases at several customers. The 6% increase in rail loadings was primarily attributable to increased loadings at one specific agency.</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Purchased transportation was 78.2% and 77.7% of revenue in the 2026 and 2025 thirteen-week periods, respectively. The increase in purchased transportation as a percentage of revenue was primarily due to an increased cost of purchased transportation as a percentage of revenue on revenue generated by Truck Brokerage Carriers, partially offset by favorable mix. Commissions to agents were 7.8% and 8.2% of revenue in the 2026 and 2025 thirteen-week periods, respectively. The decrease in commissions to agents as a percentage of revenue was primarily attributable to an increased cost of purchased transportation as a percentage of revenue on revenue generated by Truck Brokerage Carriers.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was $2,264,000 and $3,293,000 in the 2026 and 2025 thirteen-week periods, respectively. The decrease in investment income was attributable to a lower average investment balance held by the insurance segment in the 2026 thirteen-week period, partially offset by slightly higher average rates of return on investments during the 2026 thirteen-week period.</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Other operating costs increased $5,654,000 in the 2026 thirteen-week period compared to the 2025 thirteen-week period. The increase in other operating costs compared to the prior year was primarily due to increased trailer equipment maintenance costs and increased trailer rental costs in the 2026 thirteen-week period and the impact of a favorable resolution of a multiyear foreign sales tax matter during the 2025 thirteen-week period.</w:t>
      </w:r>
    </w:p>
    <w:p>
      <w:pPr>
        <w:spacing w:after="0" w:line="176"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Insurance and claims increased $22,262,000 in the 2026 thirteen-week period compared to the 2025 thirteen-week period. The increase in insurance and claims expense compared to the prior year was primarily attributable to (a) increased net unfavorable development of prior years’ claims in the 2026 thirteen-week period, which was driven by (i) an increase in the Company’s actuarially determined claim reserves; (ii) several specific commercial trucking claims involving BCO Independent Contractors leased on with motor carrier subsidiaries of the Company; (iii) several specific truck brokerage claims; and (iv) cargo loss experience as a result of fraud and theft in the supply chain and (b) an increase in the Company’s actuarially determined claim reserves relating to current year trucking claims during the 2026 thirteen-week period. During the 2026 and 2025 thirteen-week periods, insurance and claims costs included $21,924,000 and $9,219,000 of net unfavorable adjustments to prior years’ claims estimates, respectively.</w:t>
      </w:r>
    </w:p>
    <w:p>
      <w:pPr>
        <w:spacing w:after="0" w:line="17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costs increased $5,361,000 in the 2026 thirteen-week period compared to the 2025 thirteen-week period. The increase in selling, general and administrative costs compared to prior year was primarily attributable to an increased provision for incentive compensation and increased stock-based compensation expense, partially offset by a decreased provision for customer bad debt in the 2026 thirteen-week period. Included in selling, general and administrative costs was incentive compensation expense of $6,906,000 and $975,000, respectively, and stock-based compensation expense of $3,023,000 and $1,586,000, respectively, for the 2026 and 2025 thirteen-week periods.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$1,591,000 in the 2026 thirteen-week period compared to the 2025 thirteen-week period. The decrease in depreciation and amortization expense was primarily due to decreased depreciation on information technology software and decreased trailing equipment depreciation in the 2026 thirteen-week period.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Impairment of intangibles and other assets was $30,104,000 in the 2025 thirteen-week period. This was attributable to the impairment matters referenced above under “</w:t>
      </w:r>
      <w:r>
        <w:rPr>
          <w:rFonts w:ascii="Times New Roman" w:cs="Times New Roman" w:eastAsia="Times New Roman" w:hAnsi="Times New Roman"/>
          <w:sz w:val="18"/>
          <w:szCs w:val="18"/>
          <w:i w:val="1"/>
          <w:iCs w:val="1"/>
          <w:color w:val="auto"/>
        </w:rPr>
        <w:t>Expenses – Impairment of intangible and other assets.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and debt expense increased $145,000 in the 2026 thirteen-week period compared to the 2025 thirteen-week period.</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provisions for income taxes for the 2026 and 2025 thirteen-week periods were based on estimated annual effective income tax rates of 25.4% and 24.6%, respectively, adjusted for discrete events, such as excess tax benefits or deficiencies resulting from stock-based awards. The effective income tax rate for the 2026 thirteen-week period was 26.3%. The effective income tax rate was higher than the statutory federal income tax rate of 21% in the 2026 period primarily attributable to state taxes. The effective income tax rate for the 2025 thirteen-week period was 25.8%. The effective income tax rate was higher than the statutory federal income tax rate of 21% in the 2025 period primarily attributable to state taxes.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Net income was $48,043,000, or $1.42 per basic and diluted share, in the 2026 thirteen-week period. Net income was $19,364,000, or $0.56 per basic and diluted share, in the 2025 thirteen-week period. Net income during the 2025 thirteen-week period was unfavorably impacted by $30,104,000, or $0.66 per basic and diluted share, related to the impairment of intangible and other assets charges noted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Working capital and the ratio of current assets to current liabilities were $605,767,000 and 1.8 to 1, respectively, at September 26, 2026, compared with $520,486,000 and 1.7 to 1, respectively, at December 27, 2025. Landstar has historically operated with current ratios within the range of 1.5 to 1 to 2.0 to 1. Cash provided by operating activities was $98,719,000 in the 2026 thirty-nine-week period compared with $152,169,000 in the 2025 thirty-nine-week period. The decrease in cash flow provided by operating activities was primarily attributable to unfavorable net working capital impacts in connection with increased net receivables, defined as accounts receivable less accounts payable, partially offset by the impact of increased net income.</w:t>
      </w:r>
    </w:p>
    <w:p>
      <w:pPr>
        <w:spacing w:after="0" w:line="168"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Company declared and paid $1.24 per share, or $42,095,000 in the aggregate, in cash dividends during the thirty-nine-week period ended September 26, 2026 and, during such period, also paid $68,117,000 of dividends payable which were declared in December 2025 and included in current liabilities in the consolidated balance sheet at December 27, 2025. The Company declared and paid $1.16 per share, or $40,465,000 in the aggregate, in cash dividends during the thirty-nine-week period ended September 27, 2025 and, during such period, also paid $70,632,000 of dividends payable which were declared in December 2024 and included in current liabilities in the consolidated balance sheet at December 28, 2024. During the thirty-nine-week period ended September 26, 2026, the Company purchased 383,568 shares of its common stock at a total cost of $64,003,000, including $63,416,000 in cash purchases and accrued excise tax of $587,000, which is included in other current liabilities in the consolidated balance sheet at September 26, 2026. The Company also paid $1,762,000 in excise tax on its common stock purchases, which was included in other current liabilities in the consolidated balance sheet at December 27, 2025. During the thirty-nine-week period ended September 27, 2025, the Company purchased 995,168 shares of its common stock at a total cost of $143,908,000, including $142,512,000 in cash purchases and accrued excise tax of $1,396,000, which was included in other current liabilities in the consolidated balance sheet at September 27, 2025. As of September 26, 2026, the Company may purchase in the aggregate up to 882,550 shares of its common stock under its authorized stock purchase programs. Long-term debt, including current maturities, was $82,671,000 at September 26, 2026, $5,849,000 higher than at December 27, 2025.</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Shareholders’ equity was $829,996,000, or 91% of total capitalization (defined as long-term debt including current maturities plus equity), at September 26, 2026, compared to $795,665,000, or 91% of total capitalization, at December 27, 2025. The increase in shareholders’ equity was primarily the result of net income, partially offset by purchases of shares of the Company’s common stock and dividends declared by the Company in the 2026 thirty-nine-week period.</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June 30, 2026, and as previously disclosed in a Form 8-K filed with the SEC on July 6, 2026, Landstar entered into the Credit Agreement, which amended and restated the then-existing second amended and restated credit agreement. The Credit Agreement, which matures June 30, 2031, provides for borrowing capacity in the form of a revolving credit facility of $300,000,000, $100,000,000 of which may be utilized in the form of letters of credit. The Credit Agreement also includes an uncommitted “accordion” feature permitting up to an additional $500,000,000 in increases to the revolving credit facility.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interest coverage ratio, as described in the Credit Agreement, and maintain a Net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Net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September 26, 2026, the Company had no borrowings outstanding and $34,786,000 of letters of credit outstanding under the Credit Agreement. At September 26, 2026, there was $265,214,000 available for future borrowings under the Credit Agreement and access to an additional $500,000,000 under the Credit Agreement’s “accordion” feature. In addition, the Company has $75,331,000 in letters of credit outstanding as collateral for insurance claims that are secured by investments totaling $83,701,000 at September 26, 2026. Investments, all of which are carried at fair value, include primarily investment-grade bonds, asset-backed securities, commercial paper and U.S. Treasury obligations having maturities of up to five years. Fair value of investments is based primarily on quoted market prices. See “Notes to Consolidated Financial Statements” included herein for further discussion on measurement of fair value of investments.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the 2026 thirty-nine-week period, the Company purchased $11,610,000 of operating property and acquired $28,608,000 of trailing equipment by entering into finance leases. Landstar anticipates acquiring either by purchase or lease financing during the remainder of fiscal year 2026 approximately $79,000,000 in operating property consisting primarily of new trailing equipment to replace older trailing equipment and information technology hardware and software.</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Management believes that available cash and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MATTERS</w:t>
      </w:r>
    </w:p>
    <w:p>
      <w:pPr>
        <w:spacing w:after="0" w:line="11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the Company.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During the 2026 and 2025 thirty-nine-week periods, insurance and claims costs included $37,317,000 and $22,860,000 of net unfavorable adjustments to prior years’ claims estimates, respectively. It is reasonably likely that the ultimate outcome of settling all outstanding claims will be more or less than the estimated claims liability at September 26, 2026, primarily due to the inherent difficulty in estimating the severity of commercial trucking claims and the potential judgment or settlement amount that may be incurred in connection with the resolution of such claims.</w:t>
      </w:r>
    </w:p>
    <w:p>
      <w:pPr>
        <w:spacing w:after="0" w:line="188"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Significant variances from the Company’s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SEASONALITY</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Landstar’s operations are subject to seasonal trends common to the trucking industry. Historically, truckload shipments for the quarter ending in March are typically lower than for the quarters ending June, September and December.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On June 30, 2026, and as previously disclosed in a Form 8-K filed with the SEC on July 6, 2026, Landstar entered into a third amended and restated credit agreement, dated June 30, 2026, with a bank syndicate led by JPMorgan Chase Bank, N.A., as administrative agent, which amended and restated the then-existing second amended and restated credit agreement. The Credit Agreement, which matures June 30, 2031, provides for borrowing capacity in the form of a revolving credit facility of $300,000,000, $100,000,000 of which may be utilized in the form of letters of credit. The Credit Agreement also includes an uncommitted “accordion” feature permitting up to an additional $500,000,000 in increases to the revolving credit facility.</w:t>
      </w:r>
    </w:p>
    <w:p>
      <w:pPr>
        <w:spacing w:after="0" w:line="16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revolving credit loans under the Credit Agreement, at the option of Landstar, bear interest at (i) a forward-looking term rate based on the secured overnight financing rate and an applicable margin ranging from 1.25% to 2.00%, or (ii) an alternate base rate plus an applicable margin ranging from 0.25% to 1.00%, in each case with the applicable margin determined based upon the Company’s Net Leverage Ratio, as defined in the Credit Agreement, at the end of the most recent applicable fiscal quarter for which financial statements have been delivered. The revolving credit facility bears a commitment fee, payable quarterly in arrears, of 0.175% to 0.25%, based on the Company’s Net Leverage Ratio at the end of the most recent applicable fiscal quarter for which financial statements have been delivered. During the entire third quarter of 2026 and as of September 26, 2026 and December 27, 2025, the Company had no borrowings outstanding under the Credit Agreement or under the second amended and restated credit agreement, as applicable.</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Long-term investments, all of which are available-for-sale and are carried at fair value, include investment-grade bonds and asset-backed securities having maturities of up to five years. Assuming that the long-term portion of investments remains at $94,938,000, the balance at September 26, 2026, a hypothetical increase or decrease in interest rates of 100 basis points would not have a material impact on future earnings on an annualized basis. Short-term investments consist primarily of short-term investment-grade instruments and the current maturities of investment-grade corporate bonds and asset-backed securities. Accordingly, any future interest rate risk on these short-term investments would not be material to the Company’s operating results.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September 26, 2026 were collectively, as translated to U.S. dollars, less than 1% of total consolidated assets. Accordingly, translation gains or losses of 70% or less related to the Canadian and Mexican operations would not be material.</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carried out, under the supervision and with the participation of the Company’s management, including the Chief Executive Officer (“CEO”) and the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September 26, 2026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8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third quarter of 2026, which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Part I, Item 2, “</w:t>
      </w:r>
      <w:r>
        <w:rPr>
          <w:rFonts w:ascii="Times New Roman" w:cs="Times New Roman" w:eastAsia="Times New Roman" w:hAnsi="Times New Roman"/>
          <w:sz w:val="18"/>
          <w:szCs w:val="18"/>
          <w:i w:val="1"/>
          <w:iCs w:val="1"/>
          <w:color w:val="auto"/>
        </w:rPr>
        <w:t>Management’s Discussion and Analysis of Financial Condition and Results of Operations — Legal Matters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a discussion identifying risk factors and other important factors that could cause actual results to differ materially from those anticipated, see the discussions under Part I, Item 1A, “Risk Factors” in the Company’s Annual Report on Form 10-K for the fiscal year ended December 27, 2025, under Part II, Item 1A, “Risk Factors” in the Company’s Quarterly Report on Form 10-Q for the quarterly period ended June 27, 2026, and in “Management’s Discussion and Analysis of Financial Condition and Results of Operations” and “Notes to Consolidated Financial Statements” in this Quarterly Report on Form 10-Q.</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under Part II, Item 1A, “Risk Factors” in the Company’s Quarterly Report on Form 10-Q for the quarterly period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June 27, 2026, there have been no material changes to the Risk Factors described in Part I “Item 1A. Risk Factors” in the Company’s Annual Report 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Form 10-K for the fiscal year ended December 27, 2025 as filed with the SEC.</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Purchases of Equity Securities by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 of its common stock during the period from June 28, 2026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26, 2026, the Company’s third fiscal quarter:</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Total Number of</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Maximum 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Total Number of</w:t>
            </w:r>
          </w:p>
        </w:tc>
        <w:tc>
          <w:tcPr>
            <w:tcW w:w="8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Average Price</w:t>
            </w: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Shares Purchased as</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Shares That May Yet</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Part of Publicly</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Be Purchased Under</w:t>
            </w:r>
          </w:p>
        </w:tc>
        <w:tc>
          <w:tcPr>
            <w:tcW w:w="0" w:type="dxa"/>
            <w:vAlign w:val="bottom"/>
          </w:tcPr>
          <w:p>
            <w:pPr>
              <w:spacing w:after="0"/>
              <w:rPr>
                <w:sz w:val="1"/>
                <w:szCs w:val="1"/>
                <w:color w:val="auto"/>
              </w:rPr>
            </w:pPr>
          </w:p>
        </w:tc>
      </w:tr>
      <w:tr>
        <w:trPr>
          <w:trHeight w:val="158"/>
        </w:trPr>
        <w:tc>
          <w:tcPr>
            <w:tcW w:w="3720" w:type="dxa"/>
            <w:vAlign w:val="bottom"/>
            <w:gridSpan w:val="3"/>
            <w:vMerge w:val="continue"/>
          </w:tcPr>
          <w:p>
            <w:pPr>
              <w:spacing w:after="0"/>
              <w:rPr>
                <w:sz w:val="13"/>
                <w:szCs w:val="13"/>
                <w:color w:val="auto"/>
              </w:rPr>
            </w:pPr>
          </w:p>
        </w:tc>
        <w:tc>
          <w:tcPr>
            <w:tcW w:w="1620" w:type="dxa"/>
            <w:vAlign w:val="bottom"/>
            <w:gridSpan w:val="2"/>
          </w:tcPr>
          <w:p>
            <w:pPr>
              <w:jc w:val="right"/>
              <w:ind w:right="620"/>
              <w:spacing w:after="0" w:line="158" w:lineRule="exact"/>
              <w:rPr>
                <w:sz w:val="20"/>
                <w:szCs w:val="20"/>
                <w:color w:val="auto"/>
              </w:rPr>
            </w:pPr>
            <w:r>
              <w:rPr>
                <w:rFonts w:ascii="Times New Roman" w:cs="Times New Roman" w:eastAsia="Times New Roman" w:hAnsi="Times New Roman"/>
                <w:sz w:val="14"/>
                <w:szCs w:val="14"/>
                <w:color w:val="auto"/>
                <w:w w:val="99"/>
              </w:rPr>
              <w:t>Shares Purchased</w:t>
            </w:r>
          </w:p>
        </w:tc>
        <w:tc>
          <w:tcPr>
            <w:tcW w:w="1600" w:type="dxa"/>
            <w:vAlign w:val="bottom"/>
            <w:gridSpan w:val="3"/>
          </w:tcPr>
          <w:p>
            <w:pPr>
              <w:jc w:val="right"/>
              <w:ind w:right="620"/>
              <w:spacing w:after="0" w:line="158" w:lineRule="exact"/>
              <w:rPr>
                <w:sz w:val="20"/>
                <w:szCs w:val="20"/>
                <w:color w:val="auto"/>
              </w:rPr>
            </w:pPr>
            <w:r>
              <w:rPr>
                <w:rFonts w:ascii="Times New Roman" w:cs="Times New Roman" w:eastAsia="Times New Roman" w:hAnsi="Times New Roman"/>
                <w:sz w:val="14"/>
                <w:szCs w:val="14"/>
                <w:color w:val="auto"/>
              </w:rPr>
              <w:t xml:space="preserve">Paid Per Share </w:t>
            </w:r>
            <w:r>
              <w:rPr>
                <w:rFonts w:ascii="Times New Roman" w:cs="Times New Roman" w:eastAsia="Times New Roman" w:hAnsi="Times New Roman"/>
                <w:sz w:val="8"/>
                <w:szCs w:val="8"/>
                <w:color w:val="auto"/>
              </w:rPr>
              <w:t>(1)</w:t>
            </w:r>
          </w:p>
        </w:tc>
        <w:tc>
          <w:tcPr>
            <w:tcW w:w="1860" w:type="dxa"/>
            <w:vAlign w:val="bottom"/>
            <w:gridSpan w:val="2"/>
          </w:tcPr>
          <w:p>
            <w:pPr>
              <w:jc w:val="center"/>
              <w:ind w:right="600"/>
              <w:spacing w:after="0" w:line="158" w:lineRule="exact"/>
              <w:rPr>
                <w:sz w:val="20"/>
                <w:szCs w:val="20"/>
                <w:color w:val="auto"/>
              </w:rPr>
            </w:pPr>
            <w:r>
              <w:rPr>
                <w:rFonts w:ascii="Times New Roman" w:cs="Times New Roman" w:eastAsia="Times New Roman" w:hAnsi="Times New Roman"/>
                <w:sz w:val="14"/>
                <w:szCs w:val="14"/>
                <w:color w:val="auto"/>
              </w:rPr>
              <w:t>Announced Programs</w:t>
            </w:r>
          </w:p>
        </w:tc>
        <w:tc>
          <w:tcPr>
            <w:tcW w:w="132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the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27, 2026</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1,115,195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28, 2026 – July 25, 2026</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26, 2026 – August 22, 2026</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67,392</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181.72</w:t>
            </w:r>
          </w:p>
        </w:tc>
        <w:tc>
          <w:tcPr>
            <w:tcW w:w="18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67,392</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23, 2026 – September 26, 2026</w:t>
            </w: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165,253</w:t>
            </w:r>
          </w:p>
        </w:tc>
        <w:tc>
          <w:tcPr>
            <w:tcW w:w="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174.18</w:t>
            </w: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165,253</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232,645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176.36</w:t>
            </w:r>
          </w:p>
        </w:tc>
        <w:tc>
          <w:tcPr>
            <w:tcW w:w="18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232,645</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average price paid per share does not include the 1% excise tax on net stock repurchases, as applicable.</w:t>
      </w:r>
    </w:p>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September 26, 2026, the Company had authorization to purchase in the aggregate up to 882,550 shares of its common stock under these programs. No specific expiration date has been assigned to the December 6, 2022 or December 4, 2023 authorizations.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82"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June 30, 2026, and as previously disclosed in a Form 8-K filed with the SEC on July 6, 2026, Landstar entered into the Credit Agreement, which amended and restated the then-existing second amended and restated credit agreement. The Credit Agreement provides for a restriction on cash dividends and other distributions to stockholders on the Company’s capital stock in the event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Net Leverage Ratio, as defined in the Credit Agreement, would exceed 2.5 to 1 on a pro forma basis as of the end of the Company’s most recently completed fiscal quarter.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thirty-nine-week period ended September 26, 2026, none of our directors or executive officers adopted or terminated any contract, instruction or written plan for the purchase or sale of Landstar’s securities that was intended to satisfy the affirmative defense conditions of Rule 10b5-1(c) or any “non-Rule 10b5-1 trading arrangement.”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exhibits listed on the Exhibit Index are furnished as part of this quarterly report on Form 10-Q.</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80" w:type="dxa"/>
            <w:vAlign w:val="bottom"/>
            <w:gridSpan w:val="2"/>
          </w:tcPr>
          <w:p>
            <w:pPr>
              <w:ind w:left="39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2"/>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Registrant’s Commission File No.: 0-21238</w:t>
            </w:r>
          </w:p>
        </w:tc>
      </w:tr>
      <w:tr>
        <w:trPr>
          <w:trHeight w:val="392"/>
        </w:trPr>
        <w:tc>
          <w:tcPr>
            <w:tcW w:w="4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18"/>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5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r>
    </w:tbl>
    <w:p>
      <w:pPr>
        <w:spacing w:after="0" w:line="90" w:lineRule="exact"/>
        <w:rPr>
          <w:sz w:val="20"/>
          <w:szCs w:val="20"/>
          <w:color w:val="auto"/>
        </w:rPr>
      </w:pPr>
    </w:p>
    <w:p>
      <w:pPr>
        <w:ind w:left="200" w:hanging="84"/>
        <w:spacing w:after="0"/>
        <w:tabs>
          <w:tab w:leader="none" w:pos="2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u w:val="single" w:color="auto"/>
          <w:color w:val="0000EE"/>
        </w:rPr>
        <w:t>Letter Agreement, dated July 20, 2026, by and between Landstar System, Inc. and William C. Clement</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Section 302 of the Sarbanes-Oxley Act of 2002.</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7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as adopted pursuant to Section 302 of the Sarbanes-Oxley Act of 2002.</w:t>
            </w: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7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Chief Financial Officer certification, as adopted pursuant to Section 302 of the Sarbanes-Oxley Act of 2002.</w:t>
            </w:r>
          </w:p>
        </w:tc>
        <w:tc>
          <w:tcPr>
            <w:tcW w:w="40" w:type="dxa"/>
            <w:vAlign w:val="bottom"/>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w:t>
            </w:r>
          </w:p>
        </w:tc>
      </w:tr>
    </w:tbl>
    <w:p>
      <w:pPr>
        <w:spacing w:after="0" w:line="90" w:lineRule="exact"/>
        <w:rPr>
          <w:sz w:val="20"/>
          <w:szCs w:val="20"/>
          <w:color w:val="auto"/>
        </w:rPr>
      </w:pPr>
    </w:p>
    <w:p>
      <w:pPr>
        <w:ind w:left="1200" w:hanging="1084"/>
        <w:spacing w:after="0" w:line="282"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8"/>
          <w:szCs w:val="18"/>
          <w:u w:val="single" w:color="auto"/>
          <w:color w:val="0000EE"/>
        </w:rPr>
        <w:t>Chief Executive Officer certification pursuant to 18 U.S.C. Section 1350, as adopted pursuant to Section 906 of the Sarbanes-Oxley Act of 2002.</w:t>
      </w:r>
    </w:p>
    <w:p>
      <w:pPr>
        <w:spacing w:after="0" w:line="53" w:lineRule="exact"/>
        <w:rPr>
          <w:rFonts w:ascii="Times New Roman" w:cs="Times New Roman" w:eastAsia="Times New Roman" w:hAnsi="Times New Roman"/>
          <w:sz w:val="18"/>
          <w:szCs w:val="18"/>
          <w:color w:val="auto"/>
        </w:rPr>
      </w:pPr>
    </w:p>
    <w:p>
      <w:pPr>
        <w:ind w:left="1200" w:right="60" w:hanging="1084"/>
        <w:spacing w:after="0" w:line="282"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8"/>
          <w:szCs w:val="18"/>
          <w:u w:val="single" w:color="auto"/>
          <w:color w:val="0000EE"/>
        </w:rPr>
        <w:t>Chief Financial Officer certification pursuant to 18 U.S.C. Section 1350, as adopted pursuant to Section 906 of the Sarbanes-Oxley Act of 2002.</w:t>
      </w:r>
    </w:p>
    <w:p>
      <w:pPr>
        <w:sectPr>
          <w:pgSz w:w="11900" w:h="16838" w:orient="portrait"/>
          <w:cols w:equalWidth="0" w:num="1">
            <w:col w:w="11000"/>
          </w:cols>
          <w:pgMar w:left="320" w:top="482" w:right="579" w:bottom="1440" w:gutter="0" w:footer="0" w:header="0"/>
        </w:sectPr>
      </w:pP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101.CAL*</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101.LAB*</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101.PRE*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80" w:space="320"/>
            <w:col w:w="9800"/>
          </w:cols>
          <w:pgMar w:left="320" w:top="482" w:right="579" w:bottom="1440" w:gutter="0" w:footer="0" w:header="0"/>
          <w:type w:val="continuous"/>
        </w:sectPr>
      </w:pPr>
    </w:p>
    <w:p>
      <w:pPr>
        <w:spacing w:after="0" w:line="52"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320" w:top="482" w:right="5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25" w:lineRule="exact"/>
        <w:rPr>
          <w:sz w:val="20"/>
          <w:szCs w:val="20"/>
          <w:color w:val="auto"/>
        </w:rPr>
      </w:pPr>
    </w:p>
    <w:p>
      <w:pPr>
        <w:ind w:left="120"/>
        <w:spacing w:after="0"/>
        <w:tabs>
          <w:tab w:leader="none" w:pos="60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A. Lonegro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120"/>
        <w:spacing w:after="0"/>
        <w:tabs>
          <w:tab w:leader="none" w:pos="60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Financial Officer and Assistant Secretary</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20"/>
          </w:cols>
          <w:pgMar w:left="320" w:top="482" w:right="7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528945" cy="1089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894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“Bill” Clement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1502 Birkdale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Ponte Vedra Beach, FL 32082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Bill:</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is my pleasure to extend the following offer of employment for the position of Vice President and Chief Commercial Officer (the “Position”) on behalf of Landstar System, Inc. (the “Company”), and collectively with its subsidiaries and other affiliates, “Landstar”). We are very impressed with your experience and believe you will be a valuable contributor to the Landstar organization.</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letter details the terms and conditions of your employment and outlines the current major features of the Company’s compensation and benefit plans and practices, subject to Board approval. If these terms are satisfactory, please sign and return this letter as indicated below on or before July 22, 2026.</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Assumption of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start date for you to assume the Position is anticipated to be on or around August 1, 2026 (the actual date you commence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the “Start Date”). You will report to Frank Lonegro, President and Chief Executive Officer of Landstar System, Inc. Your work location will be in the Jacksonville Service Center located at 13410 Sutton Park Drive South, Jacksonville, Florida 32224.</w:t>
      </w:r>
    </w:p>
    <w:p>
      <w:pPr>
        <w:spacing w:after="0" w:line="171" w:lineRule="exact"/>
        <w:rPr>
          <w:sz w:val="20"/>
          <w:szCs w:val="20"/>
          <w:color w:val="auto"/>
        </w:rPr>
      </w:pPr>
    </w:p>
    <w:p>
      <w:pPr>
        <w:ind w:right="560"/>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Salary: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annual base salary will be $450,000, which will be paid in semi-monthly installments, subject to deductions for taxes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withholdings as required by law and/or the policies of Landstar. This position is classified as exempt under the Fair Labor Standards Act (FLSA).</w:t>
      </w:r>
    </w:p>
    <w:p>
      <w:pPr>
        <w:spacing w:after="0" w:line="13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Bonus</w:t>
      </w:r>
      <w:r>
        <w:rPr>
          <w:rFonts w:ascii="Times New Roman" w:cs="Times New Roman" w:eastAsia="Times New Roman" w:hAnsi="Times New Roman"/>
          <w:sz w:val="18"/>
          <w:szCs w:val="18"/>
          <w:color w:val="auto"/>
        </w:rPr>
        <w:t>: Your target annual cash bonus is 60% of base salary (the “Target Bonus”) as determined under the Company’s Incentive Compensation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(“ICP”). All amounts payable under the ICP are subject to the discretion of the Compensation Committee of the Board of Directors of Landstar System, Inc. (the “Committee.”) Any amounts that may be payable to you as bonus under the ICP with respect to the Company’s 2026 fiscal year will be pro-rated for your Start Date and will be paid to you when other bonuses under the ICP are paid to other senior executives of the Company. Except as otherwise set forth herein, you must be employed at the time of the payment in order to receive your bonus under the ICP. Your bonus payment under the ICP is subject to applicable taxes.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you are eligible for a one-time cash payment of $250,000 as compensation to you in recognition of you forgoing a pro-rata portion of your 2026 fiscal year bonus at your prior employer as a result of accepting this offer. This payment will be paid no later than March 31, 2027, subject to your continuous employment with the Company through such payment date. Such cash payment will be subject to repayment if your employment with Landstar is terminated for Cause (defined below) or if you resign without Good Reason (defined below), in either case within 24 months after your Start Date and will be subject to the Prior Employer Compensation Offset described below. This one-time cash payment is subject to applicable taxes.</w:t>
      </w:r>
    </w:p>
    <w:p>
      <w:pPr>
        <w:sectPr>
          <w:pgSz w:w="11900" w:h="16838" w:orient="portrait"/>
          <w:cols w:equalWidth="0" w:num="1">
            <w:col w:w="11020"/>
          </w:cols>
          <w:pgMar w:left="440" w:top="117" w:right="4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83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1183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COBRA Reimbursement</w:t>
      </w:r>
      <w:r>
        <w:rPr>
          <w:rFonts w:ascii="Times New Roman" w:cs="Times New Roman" w:eastAsia="Times New Roman" w:hAnsi="Times New Roman"/>
          <w:sz w:val="18"/>
          <w:szCs w:val="18"/>
          <w:color w:val="auto"/>
        </w:rPr>
        <w:t>: While waiting for your Landstar benefits to become effective, you will be reimbursed the expense of COBRA premium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for up to two (2) months. This is a taxable benefit that will be reimbursed through payroll upon providing evidence of payment.</w:t>
      </w:r>
    </w:p>
    <w:p>
      <w:pPr>
        <w:spacing w:after="0" w:line="15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Equity</w:t>
      </w:r>
      <w:r>
        <w:rPr>
          <w:rFonts w:ascii="Times New Roman" w:cs="Times New Roman" w:eastAsia="Times New Roman" w:hAnsi="Times New Roman"/>
          <w:sz w:val="18"/>
          <w:szCs w:val="18"/>
          <w:color w:val="auto"/>
        </w:rPr>
        <w:t>: You are eligible for annual equity grants under Landstar System, Inc’s 2011 Equity Incentive Plan (the “Equity Incentive Plan”) with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grants anticipated to occur in Q1 2027, subject in all respects to the discretion of the Committee. Each equity award described herein will be evidenced by a separate award agreement between you and the Company and will be subject to the terms and conditions set forth in the applicable award agreement and the Equity Incentive Plan. This eligibility is as follows:</w:t>
      </w:r>
    </w:p>
    <w:p>
      <w:pPr>
        <w:spacing w:after="0" w:line="86" w:lineRule="exact"/>
        <w:rPr>
          <w:sz w:val="20"/>
          <w:szCs w:val="20"/>
          <w:color w:val="auto"/>
        </w:rPr>
      </w:pPr>
    </w:p>
    <w:p>
      <w:pPr>
        <w:ind w:left="960" w:hanging="532"/>
        <w:spacing w:after="0" w:line="261"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grant of performance-related stock awards granted in the form of restricted stock units (PSUs). Vesting of the initial grant of PSUs is based on the percentage change in diluted earnings per share for the fiscal year ended as compared to the base year results rounded to the nearest whole number, less any amounts previously vested. Your initial grant of PSUs would use fiscal year 2026 as the base year and vesting would occur following the end of fiscal years 2029, 2030 and 2031.</w:t>
      </w:r>
    </w:p>
    <w:p>
      <w:pPr>
        <w:spacing w:after="0" w:line="85"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grant of restricted stock to vest pro rata on January 31, 2028, 2029 and 2030. Unvested shares of restricted stock are eligible to be voted and to receive dividends.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annual equity grants will be subject to the terms and conditions of the Equity Incentive Plan and the applicable award agreement. In connection with equity grants to be made under the Equity Incentive Plan, you will be required to execute a restrictive covenant agreement, which will include, among other things, non-solicitation, non-interference and non-competition provisions which will apply during the period of your employment with the Company and for six months thereafter as well as customary perpetual confidentiality provisions.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Sign-on</w:t>
      </w:r>
      <w:r>
        <w:rPr>
          <w:rFonts w:ascii="Times New Roman" w:cs="Times New Roman" w:eastAsia="Times New Roman" w:hAnsi="Times New Roman"/>
          <w:sz w:val="18"/>
          <w:szCs w:val="18"/>
          <w:color w:val="auto"/>
        </w:rPr>
        <w:t>: In addition to components of your compensation described above under “Salary,” “Bonus,” and “Equity,” you will be entitled to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as sign-on compensation:</w:t>
      </w:r>
    </w:p>
    <w:p>
      <w:pPr>
        <w:spacing w:after="0" w:line="64"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w:t>
      </w:r>
    </w:p>
    <w:p>
      <w:pPr>
        <w:spacing w:after="0" w:line="117" w:lineRule="exact"/>
        <w:rPr>
          <w:rFonts w:ascii="Times New Roman" w:cs="Times New Roman" w:eastAsia="Times New Roman" w:hAnsi="Times New Roman"/>
          <w:sz w:val="18"/>
          <w:szCs w:val="18"/>
          <w:color w:val="auto"/>
        </w:rPr>
      </w:pPr>
    </w:p>
    <w:p>
      <w:pPr>
        <w:jc w:val="both"/>
        <w:ind w:left="980" w:right="160" w:firstLine="7"/>
        <w:spacing w:after="0" w:line="266" w:lineRule="auto"/>
        <w:tabs>
          <w:tab w:leader="none" w:pos="1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grant of restricted stock with a value of $850,000 under the Equity Incentive Plan to be granted on your Start Date, subject to the terms and conditions of the Equity Incentive Plan and the applicable award agreement. Such shares of restricted stock shall vest as follows: 25% on February 1, 2027; 25% on August 1, 2027; 25% on February 1,</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2028; and 25% on August 1, 2028; subject to your continued employment with Landstar through each such date.</w:t>
      </w:r>
    </w:p>
    <w:p>
      <w:pPr>
        <w:sectPr>
          <w:pgSz w:w="11900" w:h="16838" w:orient="portrait"/>
          <w:cols w:equalWidth="0" w:num="1">
            <w:col w:w="11000"/>
          </w:cols>
          <w:pgMar w:left="440" w:top="1440" w:right="4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83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11830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2. A one-time $400,000 grant of performance-related stock awards granted in the form of restricted stock units (PSUs) subject to the terms of the Equity Incentive Plan and the applicable award agreement. Vesting of this one-time grant of PSUs is based on the percentage change in diluted earnings per share as of the end of each of 2028, 2029, and 2030 as compared to the base year results, using fiscal year 2025 as the base year, subject to such adjustments as determined by the Compensation Committee and less any amounts previously vested.</w:t>
      </w:r>
    </w:p>
    <w:p>
      <w:pPr>
        <w:spacing w:after="0" w:line="85"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w:t>
      </w:r>
    </w:p>
    <w:p>
      <w:pPr>
        <w:spacing w:after="0" w:line="117" w:lineRule="exact"/>
        <w:rPr>
          <w:rFonts w:ascii="Times New Roman" w:cs="Times New Roman" w:eastAsia="Times New Roman" w:hAnsi="Times New Roman"/>
          <w:sz w:val="18"/>
          <w:szCs w:val="18"/>
          <w:color w:val="auto"/>
        </w:rPr>
      </w:pPr>
    </w:p>
    <w:p>
      <w:pPr>
        <w:ind w:left="98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cash retention payment of $250,000 payable in regular payroll period installments for the first 36 months following your Start Date, subject to your continuous employment with the Company through each payment date. Any portion of such cash payment made to you will be subject to repayment if your employment with Landstar is terminated for Cause or if you resign without Good Reason (as defined below), in either case within 36 months after your Start Date.</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Prior Employer Compensation Offset: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represent that, as of the date you execute this letter, you do not expect to receive any payments from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employer relating to the foregone compensation that the Make-Whole Payments (defined as the $250,000 one-time cash payment described under “Bonus” and the $250,000 one-time cash retention payment described under “Sign-on: Cash Awards”) are intended to replace. If, at any time during the thirty-six (36) month period following your Start Date, you receive or become entitled to receive any cash payment, bonus, severance, settlement, or other compensation from your prior employer relating to such foregone compensation (a “Prior Employer Payment”), you agree to (a) notify the Company in writing within ten (10) business days of receipt, identifying the amount and nature of the Prior Employer Payment, and (b) repay to the Company, within sixty (60) days after the Company’s written demand, an amount equal to the Prior Employer Payment, allocated pro rata between the Make-Whole Payments, up to a maximum aggregate offset of $500,000; provided that, to the extent any portion of the Make-Whole Payments has not yet been paid to you, the Company may reduce or cancel future installments in lieu of requiring repayment.</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termination of your employment by the Company without Cause or by you with Good Reason on or prior to the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of your Start Date and subject to your execution and delivery to the Company and non-revocation within 30 days of such termination of a general release of claims in the form customarily used by the Company, releasing Landstar from all claims and liabilities, severance in the amount of twelve (12) months of your then applicable annual salary will be paid to you promptly in a lump sum cash payment following the expiration of the</w:t>
      </w:r>
    </w:p>
    <w:p>
      <w:pPr>
        <w:spacing w:after="0" w:line="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30-day period following such termination. Notwithstanding the foregoing, in the event that any severance benefits are payable to you under the KEEPA (as defined below), no severance payment will be made to you under the immediately preceding sentence. Moreover, you may not resign your employment with the Company for Good Reason unless (x) you provide the Company with at least 30 days prior written notice of your intent to resign for Good Reason (which notice is provided not later than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event constituting Good Reason); (y) the Company does not remedy the alleged violation(s) within such 30-day period; and (z) you terminate your employment within 10 days after the expiration of the cure period.</w:t>
      </w:r>
    </w:p>
    <w:p>
      <w:pPr>
        <w:sectPr>
          <w:pgSz w:w="11900" w:h="16838" w:orient="portrait"/>
          <w:cols w:equalWidth="0" w:num="1">
            <w:col w:w="11000"/>
          </w:cols>
          <w:pgMar w:left="440" w:top="1440" w:right="4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83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1183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You will be provided the opportunity to execute a Key Executive Employment Protection Agreement (“KEEPA”)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form that provides severance benefits in the event of certain qualifying terminations within two years after, or after the execution of definitive documents for a change in control but prior to the consummation of, a change in control of the Company consisting of a lump sum cash amount equal to one (1) times the sum of your (A) then applicable annual base salary and (B) the amount of your Target Bonus for the year in which the change in control occurs. Each KEEPA also provides a pro rata payout of the Target Bonus amount for the year of employment termination and for continuation of medical benefits for up to one year from the date of employment termination.</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r>
        <w:rPr>
          <w:rFonts w:ascii="Times New Roman" w:cs="Times New Roman" w:eastAsia="Times New Roman" w:hAnsi="Times New Roman"/>
          <w:sz w:val="18"/>
          <w:szCs w:val="18"/>
          <w:color w:val="auto"/>
        </w:rPr>
        <w:t>: You will be provided the opportunity to execute an Indemnification Agreement on the Company’s standard form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will agree to indemnify, defend and hold you harmless, to the maximum extent permitted under applicable law, in accordance with its governing documents and general policies and practices.</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entitled to enroll in any of the benefits offered to employees of Landstar as you become eligible according to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Landstar’s benefit program includes a 401(k) plan, tuition assistance, Flexible Spending Accounts and medical, dental, and vision options. In addition, you will be provided with twice your annual salary in life insurance, AD&amp;D, and Short-term and Long-term Disability insurance at no cost to you. Optional life and AD&amp;D are also available at group premiums. Eligibility for all health plans begins on the first of the month following the completion of 60 days of service.</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Paid Time Off</w:t>
      </w:r>
      <w:r>
        <w:rPr>
          <w:rFonts w:ascii="Times New Roman" w:cs="Times New Roman" w:eastAsia="Times New Roman" w:hAnsi="Times New Roman"/>
          <w:sz w:val="18"/>
          <w:szCs w:val="18"/>
          <w:color w:val="auto"/>
        </w:rPr>
        <w:t>: Landstar currently recognizes 9 paid holidays per year. In addition, you will be entitled to 15 paid vacation days per year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calendar year and 20 paid vacation days per year thereafter under the Company’s vacation policy (which will be pro-rated for 2026 and, unless otherwise determined by the Company, available upon completion of 90 days of employment). You are also eligible for flex days in accordance with the Company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honor your previously scheduled time off in August prior to your eligibility for paid time off.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As used herein, the following terms have the meaning set forth below.</w:t>
      </w:r>
    </w:p>
    <w:p>
      <w:pPr>
        <w:spacing w:after="0" w:line="135" w:lineRule="exact"/>
        <w:rPr>
          <w:sz w:val="20"/>
          <w:szCs w:val="20"/>
          <w:color w:val="auto"/>
        </w:rPr>
      </w:pPr>
    </w:p>
    <w:p>
      <w:pPr>
        <w:ind w:left="960" w:right="20" w:hanging="532"/>
        <w:spacing w:after="0" w:line="258"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for purposes of this offer letter means (i) your willful failure to perform substantially your duties as an employee of Landstar (other than due to physical or mental illness) after reasonable notice to you of such failure, (ii) your engagement in serious misconduct that is injurious to Landstar, (iii) your having been convicted of, or entered a plea of nolo contendere to, a crime that constitutes a felony or (iv) your breach of any material written policy of Landstar, or any written covenant or agreement with Landstar not to disclose any information pertaining to Landstar or not to compete or interfere with Landstar.</w:t>
      </w:r>
    </w:p>
    <w:p>
      <w:pPr>
        <w:sectPr>
          <w:pgSz w:w="11900" w:h="16838" w:orient="portrait"/>
          <w:cols w:equalWidth="0" w:num="1">
            <w:col w:w="10980"/>
          </w:cols>
          <w:pgMar w:left="440" w:top="1440" w:right="4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83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11830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960" w:hanging="532"/>
        <w:spacing w:after="0" w:line="268" w:lineRule="auto"/>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shall, within two years after, or after the execution of definitive documents for a change in control but prior to the consummation of, a change in control of the Company, have the meaning set forth in the KEEPA you execute with the Company, and at any other time shall mean the occurrence of any of the following, without your express written consent: (i) the assignment to you of any duties inconsistent in any material adverse respect with your position, authority or responsibilities or any other material adverse change in your position, including titles, authority or responsibilities; (ii) a material reduction in your annual base salary or the level of your incentive compensation opportunities then in effect, other than (x) an across-the-board reduction affecting the Company’s other senior executives or</w:t>
      </w:r>
    </w:p>
    <w:p>
      <w:pPr>
        <w:spacing w:after="0" w:line="4" w:lineRule="exact"/>
        <w:rPr>
          <w:rFonts w:ascii="Times New Roman" w:cs="Times New Roman" w:eastAsia="Times New Roman" w:hAnsi="Times New Roman"/>
          <w:sz w:val="17"/>
          <w:szCs w:val="17"/>
          <w:color w:val="auto"/>
        </w:rPr>
      </w:pPr>
    </w:p>
    <w:p>
      <w:pPr>
        <w:ind w:left="960"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an insubstantial or inadvertent reduction remedied by the Company promptly after receipt of notice thereof given by you; or (iii) the Company’s requiring you to be based at any office or location more than 50 miles from that location at which you performed services for the Company immediately prior to such relocation, except for travel reasonably required in the performance of your responsibilities; provided that you (x) provide the Company with (1) written notice of your intent to resign for Good Reason within thirty (30) days of the date of the occurrence of any of the events described in clauses (i) through (iii) and (2) a thirty (30) day cure period; and (y) failing cure, you actually terminate your employment within ten (10) days following the expiration of the cure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employment is contingent on the following:</w:t>
      </w:r>
    </w:p>
    <w:p>
      <w:pPr>
        <w:spacing w:after="0" w:line="131" w:lineRule="exact"/>
        <w:rPr>
          <w:sz w:val="20"/>
          <w:szCs w:val="20"/>
          <w:color w:val="auto"/>
        </w:rPr>
      </w:pPr>
    </w:p>
    <w:p>
      <w:pPr>
        <w:ind w:left="2080" w:right="200" w:hanging="545"/>
        <w:spacing w:after="0" w:line="266" w:lineRule="auto"/>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drug screen. Upon acceptance of this offer, you will be provided with information needed to complete this process. The results must be available in advance of your start date; normal turnaround is at least 72 hours for results. All such testing is conducted in accordance with federal, state, and local laws.</w:t>
      </w:r>
    </w:p>
    <w:p>
      <w:pPr>
        <w:spacing w:after="0" w:line="81" w:lineRule="exact"/>
        <w:rPr>
          <w:rFonts w:ascii="Times New Roman" w:cs="Times New Roman" w:eastAsia="Times New Roman" w:hAnsi="Times New Roman"/>
          <w:sz w:val="18"/>
          <w:szCs w:val="18"/>
          <w:color w:val="auto"/>
        </w:rPr>
      </w:pPr>
    </w:p>
    <w:p>
      <w:pPr>
        <w:ind w:left="2080" w:hanging="545"/>
        <w:spacing w:after="0" w:line="312" w:lineRule="auto"/>
        <w:tabs>
          <w:tab w:leader="none" w:pos="2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of documents on your first day of work that establish your identity and authorization to work in the United States. All individuals hired are required by the Immigration Reform and Control Act of 1986 to provide verification documents.</w:t>
      </w:r>
    </w:p>
    <w:p>
      <w:pPr>
        <w:spacing w:after="0" w:line="45" w:lineRule="exact"/>
        <w:rPr>
          <w:rFonts w:ascii="Times New Roman" w:cs="Times New Roman" w:eastAsia="Times New Roman" w:hAnsi="Times New Roman"/>
          <w:sz w:val="17"/>
          <w:szCs w:val="17"/>
          <w:color w:val="auto"/>
        </w:rPr>
      </w:pPr>
    </w:p>
    <w:p>
      <w:pPr>
        <w:ind w:left="2080" w:hanging="545"/>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criminal background and reference checks.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an agreement to arbitrate any disputes with the Company on the Company’s standard form.</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Compensation Committee and/or Board of Directors, as applicable.</w:t>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This letter and all payments and benefits hereunder are intended to comply with, or be exempt from, Section 409A of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and the regulations promulgated thereunder (“section 409A”) and will be interpreted accordingly. For purposes of Section 409A, your right to receive installment payments hereunder shall be treated as a right to receive a series of separate payments and, accordingly, each installment payment shall be considered at all times as separate and distinct payment. Notwithstanding anything to the contrary, if you are a “specified employee” within the meaning of Section 409A at the time of your “separation from service,” any payment subject to Section 409A that is payable by reason of such separation from service and required to be delayed under Section 409A shall not unless otherwise permitted under Section 409A be paid before the date that is six months and one day following the separation from service.</w:t>
      </w:r>
    </w:p>
    <w:p>
      <w:pPr>
        <w:sectPr>
          <w:pgSz w:w="11900" w:h="16838" w:orient="portrait"/>
          <w:cols w:equalWidth="0" w:num="1">
            <w:col w:w="11000"/>
          </w:cols>
          <w:pgMar w:left="440" w:top="1440" w:right="4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83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11830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letter reflects the terms and conditions of your employment. Accordingly, it supersedes and completely replaces any prior oral or written communication on this subject. This letter is not an employment contract and should not be construed or interpreted as containing any guarantee of continued employment. The employment relationship at our Company is by mutual consent (“Employment-At-Will”). This means that employees have the right to terminate their employment at any time and for any reason. Likewise, the Company reserves the right to discontinue your employment with or without Cause at any time and for any reason.</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Again, Bill, we look forward to you joining Landstar System, Inc. and wish you a prosperous career here. Please indicate your acceptance of this offer by signing below no later than July 22,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A. Lonegro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on following page</w:t>
      </w:r>
    </w:p>
    <w:p>
      <w:pPr>
        <w:sectPr>
          <w:pgSz w:w="11900" w:h="16838" w:orient="portrait"/>
          <w:cols w:equalWidth="0" w:num="1">
            <w:col w:w="10880"/>
          </w:cols>
          <w:pgMar w:left="440" w:top="1440" w:right="57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83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11830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accept the offer as stated above and intend to commence my employment on August 1, 2026. I understand and acknowledge that this offer does not guarantee me employment for any period of time and that the employment relationship between Landstar and me will be “at will,” which means that either Landstar or I may terminate the relationship at any time. I also understand and acknowledge that Landstar may change the terms and conditions of my employment at any time.</w:t>
      </w:r>
    </w:p>
    <w:p>
      <w:pPr>
        <w:spacing w:after="0" w:line="207" w:lineRule="exact"/>
        <w:rPr>
          <w:sz w:val="20"/>
          <w:szCs w:val="20"/>
          <w:color w:val="auto"/>
        </w:rPr>
      </w:pPr>
    </w:p>
    <w:p>
      <w:pPr>
        <w:spacing w:after="0"/>
        <w:tabs>
          <w:tab w:leader="none" w:pos="960" w:val="left"/>
          <w:tab w:leader="none" w:pos="6380" w:val="left"/>
        </w:tabs>
        <w:rPr>
          <w:sz w:val="20"/>
          <w:szCs w:val="20"/>
          <w:color w:val="auto"/>
        </w:rPr>
      </w:pPr>
      <w:r>
        <w:rPr>
          <w:rFonts w:ascii="Times New Roman" w:cs="Times New Roman" w:eastAsia="Times New Roman" w:hAnsi="Times New Roman"/>
          <w:sz w:val="18"/>
          <w:szCs w:val="18"/>
          <w:color w:val="auto"/>
        </w:rPr>
        <w:t>Signature:</w:t>
        <w:tab/>
        <w:t>/s/ William Clement</w:t>
      </w:r>
      <w:r>
        <w:rPr>
          <w:sz w:val="20"/>
          <w:szCs w:val="20"/>
          <w:color w:val="auto"/>
        </w:rPr>
        <w:tab/>
      </w:r>
      <w:r>
        <w:rPr>
          <w:rFonts w:ascii="Times New Roman" w:cs="Times New Roman" w:eastAsia="Times New Roman" w:hAnsi="Times New Roman"/>
          <w:sz w:val="17"/>
          <w:szCs w:val="17"/>
          <w:color w:val="auto"/>
        </w:rPr>
        <w:t>Date: 07/20/2026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17145</wp:posOffset>
            </wp:positionV>
            <wp:extent cx="2931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Clement</w:t>
      </w:r>
    </w:p>
    <w:p>
      <w:pPr>
        <w:sectPr>
          <w:pgSz w:w="11900" w:h="16838" w:orient="portrait"/>
          <w:cols w:equalWidth="0" w:num="1">
            <w:col w:w="10980"/>
          </w:cols>
          <w:pgMar w:left="440" w:top="1440" w:right="4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Frank A. Lonegro, certify that:</w:t>
      </w:r>
    </w:p>
    <w:p>
      <w:pPr>
        <w:spacing w:after="0" w:line="117" w:lineRule="exact"/>
        <w:rPr>
          <w:sz w:val="20"/>
          <w:szCs w:val="20"/>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 w:right="120" w:hanging="4"/>
        <w:spacing w:after="0" w:line="266" w:lineRule="auto"/>
        <w:tabs>
          <w:tab w:leader="none" w:pos="1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 w:right="80" w:hanging="4"/>
        <w:spacing w:after="0" w:line="282" w:lineRule="auto"/>
        <w:tabs>
          <w:tab w:leader="none" w:pos="1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 A. Lonegro</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P. Todd, certify that:</w:t>
      </w:r>
    </w:p>
    <w:p>
      <w:pPr>
        <w:spacing w:after="0" w:line="117" w:lineRule="exact"/>
        <w:rPr>
          <w:sz w:val="20"/>
          <w:szCs w:val="20"/>
          <w:color w:val="auto"/>
        </w:rPr>
      </w:pPr>
    </w:p>
    <w:p>
      <w:pPr>
        <w:ind w:left="184" w:hanging="184"/>
        <w:spacing w:after="0"/>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225"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 w:right="120" w:hanging="4"/>
        <w:spacing w:after="0" w:line="266" w:lineRule="auto"/>
        <w:tabs>
          <w:tab w:leader="none" w:pos="1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 w:right="200" w:hanging="4"/>
        <w:spacing w:after="0" w:line="282" w:lineRule="auto"/>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 w:right="80" w:hanging="4"/>
        <w:spacing w:after="0" w:line="282" w:lineRule="auto"/>
        <w:tabs>
          <w:tab w:leader="none" w:pos="1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024"/>
          </w:cols>
          <w:pgMar w:left="436" w:top="121"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Landstar System, Inc. (the “Company”) on Form 10-Q for the period ending September 26, 2026, as filed with the Securities and Exchange Commission on the date hereof (the “Report”), I, Frank A. Lonegro, President and Chief Executive Officer of the Company, certify pursuant to 18 U.S.C. Section 1350, as adopted pursuant to Section 906 of the Sarbanes-Oxley Act of 2002, that:</w:t>
      </w:r>
    </w:p>
    <w:p>
      <w:pPr>
        <w:spacing w:after="0" w:line="81"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 A. Lonegro</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Landstar System, Inc. (the “Company”) on Form 10-Q for the period ending September 26, 2026, as filed with the Securities and Exchange Commission on the date hereof (the “Report”), I, James P. Todd, Vice President, Chief Financial Officer and Assistant Secretary of the Company, certify pursuant to 18 U.S.C. Section 1350, as adopted pursuant to Section 906 of the Sarbanes-Oxley Act of 2002, that:</w:t>
      </w:r>
    </w:p>
    <w:p>
      <w:pPr>
        <w:spacing w:after="0" w:line="63"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5"/>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lowerRoman"/>
      <w:start w:val="3"/>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
      <w:numFmt w:val="bullet"/>
      <w:start w:val="1"/>
    </w:lvl>
  </w:abstractNum>
  <w:abstractNum w:abstractNumId="20">
    <w:nsid w:val="8138641"/>
    <w:multiLevelType w:val="hybridMultilevel"/>
    <w:lvl w:ilvl="0">
      <w:lvlJc w:val="left"/>
      <w:lvlText w:val=" "/>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1"/>
    </w:lvl>
  </w:abstractNum>
  <w:abstractNum w:abstractNumId="24">
    <w:nsid w:val="6CEAF087"/>
    <w:multiLevelType w:val="hybridMultilevel"/>
    <w:lvl w:ilvl="0">
      <w:lvlJc w:val="left"/>
      <w:lvlText w:val="(%1)"/>
      <w:numFmt w:val="upperLetter"/>
      <w:start w:val="1"/>
    </w:lvl>
    <w:lvl w:ilvl="1">
      <w:lvlJc w:val="left"/>
      <w:lvlText w:val="%2."/>
      <w:numFmt w:val="decimal"/>
      <w:start w:val="1"/>
    </w:lvl>
  </w:abstractNum>
  <w:abstractNum w:abstractNumId="25">
    <w:nsid w:val="22221A70"/>
    <w:multiLevelType w:val="hybridMultilevel"/>
    <w:lvl w:ilvl="0">
      <w:lvlJc w:val="left"/>
      <w:lvlText w:val="(%1)"/>
      <w:numFmt w:val="upperLetter"/>
      <w:start w:val="2"/>
    </w:lvl>
  </w:abstractNum>
  <w:abstractNum w:abstractNumId="26">
    <w:nsid w:val="4516DDE9"/>
    <w:multiLevelType w:val="hybridMultilevel"/>
    <w:lvl w:ilvl="0">
      <w:lvlJc w:val="left"/>
      <w:lvlText w:val="(%1)"/>
      <w:numFmt w:val="upperLetter"/>
      <w:start w:val="1"/>
    </w:lvl>
  </w:abstractNum>
  <w:abstractNum w:abstractNumId="27">
    <w:nsid w:val="3006C83E"/>
    <w:multiLevelType w:val="hybridMultilevel"/>
    <w:lvl w:ilvl="0">
      <w:lvlJc w:val="left"/>
      <w:lvlText w:val="(%1)"/>
      <w:numFmt w:val="upperLetter"/>
      <w:start w:val="2"/>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2026-10-28T13:42:21Z</dcterms:created>
  <dcterms:modified xsi:type="dcterms:W3CDTF">2026-10-28T13:42:21Z</dcterms:modified>
</cp:coreProperties>
</file>