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93"/>
        <w:gridCol w:w="1510"/>
        <w:gridCol w:w="3032"/>
        <w:gridCol w:w="2470"/>
      </w:tblGrid>
      <w:tr>
        <w:trPr/>
        <w:tc>
          <w:tcPr>
            <w:tcW w:w="3193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73"/>
            </w:tblGrid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Clement William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73"/>
            </w:tblGrid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13410 SUTTON PARK DRIVE SOUTH</w:t>
                  </w:r>
                </w:p>
              </w:tc>
            </w:tr>
            <w:tr>
              <w:trPr/>
              <w:tc>
                <w:tcPr>
                  <w:tcW w:w="307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4"/>
              <w:gridCol w:w="1024"/>
              <w:gridCol w:w="1025"/>
            </w:tblGrid>
            <w:tr>
              <w:trPr/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2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5502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LANDSTAR SYSTEM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LSTR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6"/>
              <w:gridCol w:w="1020"/>
              <w:gridCol w:w="436"/>
              <w:gridCol w:w="1020"/>
            </w:tblGrid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93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1"/>
              <w:gridCol w:w="1999"/>
            </w:tblGrid>
            <w:tr>
              <w:trPr/>
              <w:tc>
                <w:tcPr>
                  <w:tcW w:w="3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9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W. Mapanoo,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each of the Vice President and 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Landstar System, Inc. (the "Company") (a position currently held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James P. Todd) and the Vice President and Corporate Controller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Landstar System Holdings, Inc. (a position currently held by Lauren</w:t>
      </w:r>
    </w:p>
    <w:p>
      <w:pPr>
        <w:pStyle w:val="PreformattedText"/>
        <w:bidi w:val="0"/>
        <w:spacing w:before="0" w:after="0"/>
        <w:jc w:val="left"/>
        <w:rPr/>
      </w:pPr>
      <w:r>
        <w:rPr/>
        <w:t>Mapanoo),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behalf, and submit to the U.S.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 a Form ID, including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other documents necessary or appropriate to obtain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electronic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 of reports required by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the Company, Forms 3, 4,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5 in accordance with Section 16(a) of the Securities Act of 1934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rules thereunder, and any other forms or reports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required to file in connection with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ownership, acquisition, or disposition of securities of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such Form 3, 4, or 5, or such other form or report, and timely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such form or report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or revocation, hereby ratifying and confirming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such attorney-in-fact, or such attorney-in-fact's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any prior Power of Attorney executed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with respect to the matters addressed in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Attorney.  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 Forms 3, 4,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Chief Financial Officer of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this 21st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By:/s/ William C. Clement</w:t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 William C. Clement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6719" TargetMode="External"/><Relationship Id="rId3" Type="http://schemas.openxmlformats.org/officeDocument/2006/relationships/hyperlink" Target="http://www.sec.gov/cgi-bin/browse-edgar?action=getcompany&amp;CIK=000085381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990</Words>
  <Characters>5253</Characters>
  <CharactersWithSpaces>6144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